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9434" w14:textId="77777777" w:rsidR="00226F68" w:rsidRPr="00166120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,Bold" w:hint="eastAsia"/>
          <w:b/>
          <w:bCs/>
          <w:kern w:val="0"/>
          <w:sz w:val="72"/>
          <w:szCs w:val="72"/>
        </w:rPr>
        <w:t>苗栗縣統計通報</w:t>
      </w:r>
    </w:p>
    <w:p w14:paraId="5E636402" w14:textId="77777777" w:rsidR="00226F68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260087C1" w14:textId="77777777" w:rsidR="00226F68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7D64C795" w14:textId="77777777" w:rsidR="00226F68" w:rsidRPr="008C4E50" w:rsidRDefault="00226F68" w:rsidP="00226F68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1E49A27B" w14:textId="4989C7DE" w:rsidR="00226F68" w:rsidRPr="00DB7652" w:rsidRDefault="00F03A41" w:rsidP="00DB7652">
      <w:pPr>
        <w:jc w:val="center"/>
        <w:rPr>
          <w:rFonts w:ascii="標楷體" w:eastAsia="標楷體" w:hAnsi="標楷體" w:cs="DFKaiShu-SB-Estd-BF"/>
          <w:kern w:val="0"/>
          <w:sz w:val="66"/>
          <w:szCs w:val="66"/>
        </w:rPr>
      </w:pPr>
      <w:proofErr w:type="gramStart"/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苗北藝文</w:t>
      </w:r>
      <w:proofErr w:type="gramEnd"/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中心10</w:t>
      </w:r>
      <w:r w:rsidR="000E697A">
        <w:rPr>
          <w:rFonts w:ascii="標楷體" w:eastAsia="標楷體" w:hAnsi="標楷體" w:cs="DFKaiShu-SB-Estd-BF" w:hint="eastAsia"/>
          <w:kern w:val="0"/>
          <w:sz w:val="66"/>
          <w:szCs w:val="66"/>
        </w:rPr>
        <w:t>7</w:t>
      </w:r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年~1</w:t>
      </w:r>
      <w:r w:rsidR="00FC2C13">
        <w:rPr>
          <w:rFonts w:ascii="標楷體" w:eastAsia="標楷體" w:hAnsi="標楷體" w:cs="DFKaiShu-SB-Estd-BF" w:hint="eastAsia"/>
          <w:kern w:val="0"/>
          <w:sz w:val="66"/>
          <w:szCs w:val="66"/>
        </w:rPr>
        <w:t>1</w:t>
      </w:r>
      <w:r w:rsidR="000E697A">
        <w:rPr>
          <w:rFonts w:ascii="標楷體" w:eastAsia="標楷體" w:hAnsi="標楷體" w:cs="DFKaiShu-SB-Estd-BF" w:hint="eastAsia"/>
          <w:kern w:val="0"/>
          <w:sz w:val="66"/>
          <w:szCs w:val="66"/>
        </w:rPr>
        <w:t>1</w:t>
      </w:r>
      <w:r w:rsidR="00DB7652"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年</w:t>
      </w:r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演出類型、場次、人次分析</w:t>
      </w:r>
    </w:p>
    <w:p w14:paraId="09EB0C33" w14:textId="77777777" w:rsidR="00226F68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193FA6E5" w14:textId="77777777" w:rsidR="00226F68" w:rsidRPr="008C4E50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39F252AB" w14:textId="77777777" w:rsidR="00226F68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205A3BCC" w14:textId="77777777" w:rsidR="00226F68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40B4B423" w14:textId="77777777" w:rsidR="00226F68" w:rsidRPr="008C4E50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6F6F70F0" w14:textId="77777777" w:rsidR="00226F68" w:rsidRPr="00166120" w:rsidRDefault="00226F68" w:rsidP="00226F68">
      <w:pPr>
        <w:jc w:val="center"/>
        <w:rPr>
          <w:rFonts w:ascii="標楷體" w:eastAsia="標楷體" w:hAnsi="標楷體" w:cs="DFKaiShu-SB-Estd-BF"/>
          <w:b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" w:hint="eastAsia"/>
          <w:b/>
          <w:kern w:val="0"/>
          <w:sz w:val="72"/>
          <w:szCs w:val="72"/>
        </w:rPr>
        <w:t>苗栗縣政府文化觀光局</w:t>
      </w:r>
    </w:p>
    <w:p w14:paraId="214C994E" w14:textId="77777777" w:rsidR="00A95A1E" w:rsidRDefault="00A95A1E"/>
    <w:p w14:paraId="32B32C68" w14:textId="77777777" w:rsidR="007212BC" w:rsidRDefault="007212BC">
      <w:pPr>
        <w:sectPr w:rsidR="007212BC" w:rsidSect="00E5283D">
          <w:headerReference w:type="default" r:id="rId8"/>
          <w:footerReference w:type="default" r:id="rId9"/>
          <w:type w:val="continuous"/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60"/>
        </w:sectPr>
      </w:pPr>
    </w:p>
    <w:p w14:paraId="12A21164" w14:textId="77777777" w:rsidR="00226F68" w:rsidRDefault="00226F68"/>
    <w:p w14:paraId="6E81EAD0" w14:textId="77777777" w:rsidR="00226F68" w:rsidRPr="00DB7652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36"/>
          <w:szCs w:val="28"/>
        </w:rPr>
      </w:pPr>
      <w:r w:rsidRPr="00DB7652">
        <w:rPr>
          <w:rFonts w:ascii="標楷體" w:eastAsia="標楷體" w:hAnsi="標楷體" w:cs="DFKaiShu-SB-Estd-BF,Bold" w:hint="eastAsia"/>
          <w:b/>
          <w:bCs/>
          <w:kern w:val="0"/>
          <w:sz w:val="36"/>
          <w:szCs w:val="28"/>
        </w:rPr>
        <w:t>目錄</w:t>
      </w:r>
    </w:p>
    <w:p w14:paraId="091A2454" w14:textId="6EA3D386" w:rsidR="00226F68" w:rsidRPr="00DB7652" w:rsidRDefault="00AA596C" w:rsidP="00226F68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壹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、前言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</w:t>
      </w:r>
      <w:r w:rsid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..................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</w:t>
      </w:r>
      <w:r w:rsid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0871A1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1</w:t>
      </w:r>
    </w:p>
    <w:p w14:paraId="4AF05A3F" w14:textId="5EE69C37" w:rsidR="00D4507B" w:rsidRPr="00DB7652" w:rsidRDefault="00AA596C" w:rsidP="00226F68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貳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、</w:t>
      </w:r>
      <w:proofErr w:type="gramStart"/>
      <w:r w:rsidR="00D4507B" w:rsidRPr="00DB7652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苗北藝文</w:t>
      </w:r>
      <w:proofErr w:type="gramEnd"/>
      <w:r w:rsidR="00D4507B" w:rsidRPr="00DB7652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中心</w:t>
      </w:r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展演活動統計圖表</w:t>
      </w:r>
      <w:r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及說明</w:t>
      </w:r>
    </w:p>
    <w:p w14:paraId="01C2F16A" w14:textId="7A38C370" w:rsidR="00854A67" w:rsidRPr="00DB7652" w:rsidRDefault="00AA596C" w:rsidP="00AA596C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 xml:space="preserve">   一、</w:t>
      </w:r>
      <w:r w:rsidRPr="00AA596C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活動舉辦場次</w:t>
      </w:r>
      <w:r w:rsidR="00546ECA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..............</w:t>
      </w:r>
      <w:r w:rsidR="00546ECA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</w:t>
      </w:r>
      <w:r w:rsidR="00546ECA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="00546ECA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="00546ECA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0871A1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2</w:t>
      </w:r>
    </w:p>
    <w:p w14:paraId="2EB430C6" w14:textId="389372DB" w:rsidR="00546ECA" w:rsidRPr="00DB7652" w:rsidRDefault="00546ECA" w:rsidP="00546ECA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 xml:space="preserve">   二、</w:t>
      </w:r>
      <w:r w:rsidRPr="00546EC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展演入場方式</w:t>
      </w: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及入場聆賞</w:t>
      </w:r>
      <w:r w:rsidR="001425A5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方式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</w:t>
      </w:r>
      <w:r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0871A1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6</w:t>
      </w:r>
    </w:p>
    <w:p w14:paraId="51BFD76D" w14:textId="009D4D1F" w:rsidR="00546ECA" w:rsidRPr="00546ECA" w:rsidRDefault="00546ECA" w:rsidP="00546ECA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 w:rsidRPr="00546EC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 xml:space="preserve">   三、結論與建議</w:t>
      </w:r>
      <w:r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................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</w:t>
      </w:r>
      <w:r w:rsidR="000E697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35262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1</w:t>
      </w:r>
      <w:r w:rsidR="000871A1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3</w:t>
      </w:r>
    </w:p>
    <w:p w14:paraId="3681DBE0" w14:textId="77777777" w:rsidR="00AE6FFC" w:rsidRDefault="00AE6FFC">
      <w:pPr>
        <w:sectPr w:rsidR="00AE6FFC" w:rsidSect="00E05E2D">
          <w:pgSz w:w="11906" w:h="16838" w:code="9"/>
          <w:pgMar w:top="1440" w:right="1797" w:bottom="1440" w:left="1797" w:header="851" w:footer="992" w:gutter="0"/>
          <w:cols w:space="425"/>
          <w:docGrid w:type="lines" w:linePitch="360"/>
        </w:sectPr>
      </w:pPr>
    </w:p>
    <w:p w14:paraId="47B8439E" w14:textId="77777777" w:rsidR="00226F68" w:rsidRDefault="00226F68"/>
    <w:p w14:paraId="0306E822" w14:textId="77777777" w:rsidR="00226F68" w:rsidRDefault="00226F68"/>
    <w:p w14:paraId="3B040AC3" w14:textId="77777777" w:rsidR="00226F68" w:rsidRDefault="00226F68"/>
    <w:p w14:paraId="251DAD57" w14:textId="77777777" w:rsidR="00226F68" w:rsidRDefault="00226F68"/>
    <w:p w14:paraId="7E8FAC8E" w14:textId="77777777" w:rsidR="00226F68" w:rsidRDefault="00226F68"/>
    <w:p w14:paraId="68DBCE80" w14:textId="77777777" w:rsidR="00226F68" w:rsidRDefault="00226F68"/>
    <w:p w14:paraId="538DFBB6" w14:textId="77777777" w:rsidR="00226F68" w:rsidRPr="00546ECA" w:rsidRDefault="00226F68"/>
    <w:p w14:paraId="08FE4E96" w14:textId="77777777" w:rsidR="00226F68" w:rsidRDefault="00226F68"/>
    <w:p w14:paraId="1F197F53" w14:textId="77777777" w:rsidR="00226F68" w:rsidRDefault="00226F68"/>
    <w:p w14:paraId="30365AC9" w14:textId="77777777" w:rsidR="00226F68" w:rsidRDefault="00226F68"/>
    <w:p w14:paraId="30459D5F" w14:textId="77777777" w:rsidR="00226F68" w:rsidRDefault="00226F68"/>
    <w:p w14:paraId="79B322DF" w14:textId="77777777" w:rsidR="00226F68" w:rsidRDefault="00226F68"/>
    <w:p w14:paraId="684DAB49" w14:textId="77777777" w:rsidR="00226F68" w:rsidRDefault="00226F68"/>
    <w:p w14:paraId="06B10D7A" w14:textId="77777777" w:rsidR="00226F68" w:rsidRDefault="00226F68"/>
    <w:p w14:paraId="515EC1C2" w14:textId="77777777" w:rsidR="00226F68" w:rsidRDefault="00226F68"/>
    <w:p w14:paraId="3B3C1169" w14:textId="77777777" w:rsidR="00226F68" w:rsidRDefault="00226F68"/>
    <w:p w14:paraId="0A74AC22" w14:textId="77777777" w:rsidR="00226F68" w:rsidRDefault="00226F68"/>
    <w:p w14:paraId="38FC56AA" w14:textId="77777777" w:rsidR="00226F68" w:rsidRDefault="00226F68"/>
    <w:p w14:paraId="43958815" w14:textId="77777777" w:rsidR="00226F68" w:rsidRDefault="00226F68"/>
    <w:p w14:paraId="5A925CAD" w14:textId="77777777" w:rsidR="00546ECA" w:rsidRDefault="00546ECA"/>
    <w:p w14:paraId="3BFA4AE4" w14:textId="77777777" w:rsidR="00546ECA" w:rsidRDefault="00546ECA"/>
    <w:p w14:paraId="0C17D1D7" w14:textId="77777777" w:rsidR="00546ECA" w:rsidRDefault="00546ECA"/>
    <w:p w14:paraId="08D9E3C0" w14:textId="77777777" w:rsidR="00546ECA" w:rsidRDefault="00546ECA"/>
    <w:p w14:paraId="2A02EA88" w14:textId="77777777" w:rsidR="00546ECA" w:rsidRDefault="00546ECA"/>
    <w:p w14:paraId="2FFC8DA9" w14:textId="77777777" w:rsidR="00E05E2D" w:rsidRDefault="00E05E2D">
      <w:pPr>
        <w:sectPr w:rsidR="00E05E2D" w:rsidSect="00E5283D">
          <w:type w:val="continuous"/>
          <w:pgSz w:w="11906" w:h="16838" w:code="9"/>
          <w:pgMar w:top="1440" w:right="1797" w:bottom="1440" w:left="1797" w:header="851" w:footer="992" w:gutter="0"/>
          <w:pgNumType w:start="0"/>
          <w:cols w:space="425"/>
          <w:docGrid w:type="lines" w:linePitch="360"/>
        </w:sectPr>
      </w:pPr>
    </w:p>
    <w:p w14:paraId="1DDC8CBA" w14:textId="77777777" w:rsidR="009C2CAF" w:rsidRDefault="009C2CAF"/>
    <w:p w14:paraId="310F6D53" w14:textId="77777777" w:rsidR="00226F68" w:rsidRPr="00AA596C" w:rsidRDefault="00226F68" w:rsidP="00AA596C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b/>
          <w:sz w:val="32"/>
        </w:rPr>
      </w:pPr>
      <w:r w:rsidRPr="00AA596C">
        <w:rPr>
          <w:rFonts w:ascii="標楷體" w:eastAsia="標楷體" w:hAnsi="標楷體" w:hint="eastAsia"/>
          <w:b/>
          <w:sz w:val="32"/>
        </w:rPr>
        <w:lastRenderedPageBreak/>
        <w:t>前言</w:t>
      </w:r>
    </w:p>
    <w:p w14:paraId="37E1D402" w14:textId="1776DA27" w:rsidR="000B3F05" w:rsidRDefault="00166F1E" w:rsidP="000E697A">
      <w:pPr>
        <w:pStyle w:val="a7"/>
        <w:ind w:leftChars="201" w:left="482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D50FEC">
        <w:rPr>
          <w:rFonts w:ascii="標楷體" w:eastAsia="標楷體" w:hAnsi="標楷體"/>
          <w:sz w:val="28"/>
          <w:szCs w:val="24"/>
        </w:rPr>
        <w:t>為促進苗栗縣全境區域發展均衡，</w:t>
      </w:r>
      <w:proofErr w:type="gramStart"/>
      <w:r w:rsidRPr="00D50FEC">
        <w:rPr>
          <w:rFonts w:ascii="標楷體" w:eastAsia="標楷體" w:hAnsi="標楷體"/>
          <w:sz w:val="28"/>
          <w:szCs w:val="24"/>
        </w:rPr>
        <w:t>營創美</w:t>
      </w:r>
      <w:proofErr w:type="gramEnd"/>
      <w:r w:rsidRPr="00D50FEC">
        <w:rPr>
          <w:rFonts w:ascii="標楷體" w:eastAsia="標楷體" w:hAnsi="標楷體"/>
          <w:sz w:val="28"/>
          <w:szCs w:val="24"/>
        </w:rPr>
        <w:t>藝與生活休閒融合的文化空間，由苗栗縣政府興建「</w:t>
      </w:r>
      <w:proofErr w:type="gramStart"/>
      <w:r w:rsidRPr="00D50FEC">
        <w:rPr>
          <w:rFonts w:ascii="標楷體" w:eastAsia="標楷體" w:hAnsi="標楷體"/>
          <w:sz w:val="28"/>
          <w:szCs w:val="24"/>
        </w:rPr>
        <w:t>苗北藝文</w:t>
      </w:r>
      <w:proofErr w:type="gramEnd"/>
      <w:r w:rsidRPr="00D50FEC">
        <w:rPr>
          <w:rFonts w:ascii="標楷體" w:eastAsia="標楷體" w:hAnsi="標楷體"/>
          <w:sz w:val="28"/>
          <w:szCs w:val="24"/>
        </w:rPr>
        <w:t>中心」</w:t>
      </w:r>
      <w:r w:rsidR="000B3F05">
        <w:rPr>
          <w:rFonts w:ascii="標楷體" w:eastAsia="標楷體" w:hAnsi="標楷體" w:hint="eastAsia"/>
          <w:sz w:val="28"/>
          <w:szCs w:val="24"/>
        </w:rPr>
        <w:t>，並於108</w:t>
      </w:r>
      <w:r w:rsidR="000B3F05" w:rsidRPr="000B3F05">
        <w:rPr>
          <w:rFonts w:ascii="標楷體" w:eastAsia="標楷體" w:hAnsi="標楷體" w:hint="eastAsia"/>
          <w:sz w:val="28"/>
          <w:szCs w:val="24"/>
        </w:rPr>
        <w:t>年底獲文化部核准，</w:t>
      </w:r>
      <w:r w:rsidR="00E30EBE">
        <w:rPr>
          <w:rFonts w:ascii="標楷體" w:eastAsia="標楷體" w:hAnsi="標楷體" w:hint="eastAsia"/>
          <w:sz w:val="28"/>
          <w:szCs w:val="24"/>
        </w:rPr>
        <w:t>於109年</w:t>
      </w:r>
      <w:r w:rsidR="000B3F05" w:rsidRPr="000B3F05">
        <w:rPr>
          <w:rFonts w:ascii="標楷體" w:eastAsia="標楷體" w:hAnsi="標楷體" w:hint="eastAsia"/>
          <w:sz w:val="28"/>
          <w:szCs w:val="24"/>
        </w:rPr>
        <w:t>轉型成為地方層級的「行政法人」</w:t>
      </w:r>
      <w:r w:rsidR="000B3F05">
        <w:rPr>
          <w:rFonts w:ascii="標楷體" w:eastAsia="標楷體" w:hAnsi="標楷體" w:hint="eastAsia"/>
          <w:sz w:val="28"/>
          <w:szCs w:val="24"/>
        </w:rPr>
        <w:t>，</w:t>
      </w:r>
      <w:r w:rsidR="000B3F05" w:rsidRPr="000B3F05">
        <w:rPr>
          <w:rFonts w:ascii="標楷體" w:eastAsia="標楷體" w:hAnsi="標楷體" w:hint="eastAsia"/>
          <w:sz w:val="28"/>
          <w:szCs w:val="24"/>
        </w:rPr>
        <w:t>成為</w:t>
      </w:r>
      <w:proofErr w:type="gramStart"/>
      <w:r w:rsidR="000B3F05" w:rsidRPr="000B3F05">
        <w:rPr>
          <w:rFonts w:ascii="標楷體" w:eastAsia="標楷體" w:hAnsi="標楷體" w:hint="eastAsia"/>
          <w:sz w:val="28"/>
          <w:szCs w:val="24"/>
        </w:rPr>
        <w:t>縣內第一個</w:t>
      </w:r>
      <w:proofErr w:type="gramEnd"/>
      <w:r w:rsidR="000B3F05" w:rsidRPr="000B3F05">
        <w:rPr>
          <w:rFonts w:ascii="標楷體" w:eastAsia="標楷體" w:hAnsi="標楷體" w:hint="eastAsia"/>
          <w:sz w:val="28"/>
          <w:szCs w:val="24"/>
        </w:rPr>
        <w:t>行政法人的機構。</w:t>
      </w:r>
    </w:p>
    <w:p w14:paraId="6D8F15CF" w14:textId="0DAEA3A8" w:rsidR="00166F1E" w:rsidRPr="00BB53EE" w:rsidRDefault="000B3F05" w:rsidP="000E697A">
      <w:pPr>
        <w:pStyle w:val="a7"/>
        <w:ind w:leftChars="201" w:left="482" w:firstLineChars="200" w:firstLine="560"/>
        <w:jc w:val="both"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苗栗縣苗北藝文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中心</w:t>
      </w:r>
      <w:r w:rsidR="00166F1E" w:rsidRPr="00166F1E">
        <w:rPr>
          <w:rFonts w:ascii="標楷體" w:eastAsia="標楷體" w:hAnsi="標楷體" w:hint="eastAsia"/>
          <w:sz w:val="28"/>
          <w:szCs w:val="24"/>
        </w:rPr>
        <w:t>為一</w:t>
      </w:r>
      <w:proofErr w:type="gramStart"/>
      <w:r w:rsidR="00166F1E" w:rsidRPr="00166F1E">
        <w:rPr>
          <w:rFonts w:ascii="標楷體" w:eastAsia="標楷體" w:hAnsi="標楷體" w:hint="eastAsia"/>
          <w:sz w:val="28"/>
          <w:szCs w:val="24"/>
        </w:rPr>
        <w:t>座地</w:t>
      </w:r>
      <w:proofErr w:type="gramEnd"/>
      <w:r w:rsidR="00166F1E" w:rsidRPr="00166F1E">
        <w:rPr>
          <w:rFonts w:ascii="標楷體" w:eastAsia="標楷體" w:hAnsi="標楷體" w:hint="eastAsia"/>
          <w:sz w:val="28"/>
          <w:szCs w:val="24"/>
        </w:rPr>
        <w:t>上5層，地下2層的現代建築，整體建物面積合計有0.9255公頃，茲</w:t>
      </w:r>
      <w:proofErr w:type="gramStart"/>
      <w:r w:rsidR="00166F1E" w:rsidRPr="00166F1E">
        <w:rPr>
          <w:rFonts w:ascii="標楷體" w:eastAsia="標楷體" w:hAnsi="標楷體" w:hint="eastAsia"/>
          <w:sz w:val="28"/>
          <w:szCs w:val="24"/>
        </w:rPr>
        <w:t>將苗北藝文</w:t>
      </w:r>
      <w:proofErr w:type="gramEnd"/>
      <w:r w:rsidR="00166F1E" w:rsidRPr="00166F1E">
        <w:rPr>
          <w:rFonts w:ascii="標楷體" w:eastAsia="標楷體" w:hAnsi="標楷體" w:hint="eastAsia"/>
          <w:sz w:val="28"/>
          <w:szCs w:val="24"/>
        </w:rPr>
        <w:t>中心層級定位為「縣市級」的表演場所，</w:t>
      </w:r>
      <w:r w:rsidR="00655694" w:rsidRPr="00BB53EE">
        <w:rPr>
          <w:rFonts w:ascii="標楷體" w:eastAsia="標楷體" w:hAnsi="標楷體" w:hint="eastAsia"/>
          <w:sz w:val="28"/>
          <w:szCs w:val="24"/>
        </w:rPr>
        <w:t>主要空間規劃為演藝廳、實驗劇場、視聽中心、戶外</w:t>
      </w:r>
      <w:proofErr w:type="gramStart"/>
      <w:r w:rsidR="00655694" w:rsidRPr="00BB53EE">
        <w:rPr>
          <w:rFonts w:ascii="標楷體" w:eastAsia="標楷體" w:hAnsi="標楷體" w:hint="eastAsia"/>
          <w:sz w:val="28"/>
          <w:szCs w:val="24"/>
        </w:rPr>
        <w:t>展演區</w:t>
      </w:r>
      <w:proofErr w:type="gramEnd"/>
      <w:r w:rsidR="00655694" w:rsidRPr="00BB53EE">
        <w:rPr>
          <w:rFonts w:ascii="標楷體" w:eastAsia="標楷體" w:hAnsi="標楷體" w:hint="eastAsia"/>
          <w:sz w:val="28"/>
          <w:szCs w:val="24"/>
        </w:rPr>
        <w:t>、藝文展覽區，發展機能係為適合國內外各類型音樂、戲劇、舞蹈表演及展覽、研習訓練機能與大型集會使用</w:t>
      </w:r>
      <w:r w:rsidR="00166F1E" w:rsidRPr="00BB53EE">
        <w:rPr>
          <w:rFonts w:ascii="標楷體" w:eastAsia="標楷體" w:hAnsi="標楷體" w:hint="eastAsia"/>
          <w:sz w:val="28"/>
          <w:szCs w:val="24"/>
        </w:rPr>
        <w:t>。</w:t>
      </w:r>
    </w:p>
    <w:p w14:paraId="2544922C" w14:textId="589BF793" w:rsidR="002B099D" w:rsidRPr="00BB53EE" w:rsidRDefault="002B099D" w:rsidP="000E697A">
      <w:pPr>
        <w:pStyle w:val="a7"/>
        <w:ind w:leftChars="201" w:left="482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BB53EE">
        <w:rPr>
          <w:rFonts w:ascii="標楷體" w:eastAsia="標楷體" w:hAnsi="標楷體" w:hint="eastAsia"/>
          <w:sz w:val="28"/>
          <w:szCs w:val="24"/>
        </w:rPr>
        <w:t>本通報係呈現</w:t>
      </w:r>
      <w:proofErr w:type="gramStart"/>
      <w:r w:rsidRPr="00BB53EE">
        <w:rPr>
          <w:rFonts w:ascii="標楷體" w:eastAsia="標楷體" w:hAnsi="標楷體" w:hint="eastAsia"/>
          <w:sz w:val="28"/>
          <w:szCs w:val="24"/>
        </w:rPr>
        <w:t>苗栗縣苗北藝文</w:t>
      </w:r>
      <w:proofErr w:type="gramEnd"/>
      <w:r w:rsidRPr="00BB53EE">
        <w:rPr>
          <w:rFonts w:ascii="標楷體" w:eastAsia="標楷體" w:hAnsi="標楷體" w:hint="eastAsia"/>
          <w:sz w:val="28"/>
          <w:szCs w:val="24"/>
        </w:rPr>
        <w:t>中心</w:t>
      </w:r>
      <w:proofErr w:type="gramStart"/>
      <w:r w:rsidRPr="00BB53EE">
        <w:rPr>
          <w:rFonts w:ascii="標楷體" w:eastAsia="標楷體" w:hAnsi="標楷體" w:hint="eastAsia"/>
          <w:sz w:val="28"/>
          <w:szCs w:val="24"/>
        </w:rPr>
        <w:t>近五年來之</w:t>
      </w:r>
      <w:proofErr w:type="gramEnd"/>
      <w:r w:rsidRPr="00BB53EE">
        <w:rPr>
          <w:rFonts w:ascii="標楷體" w:eastAsia="標楷體" w:hAnsi="標楷體" w:hint="eastAsia"/>
          <w:sz w:val="28"/>
          <w:szCs w:val="24"/>
        </w:rPr>
        <w:t>活動演出類型、場次、人次等統計資料，資料來源為</w:t>
      </w:r>
      <w:proofErr w:type="gramStart"/>
      <w:r w:rsidRPr="00BB53EE">
        <w:rPr>
          <w:rFonts w:ascii="標楷體" w:eastAsia="標楷體" w:hAnsi="標楷體" w:hint="eastAsia"/>
          <w:sz w:val="28"/>
          <w:szCs w:val="24"/>
        </w:rPr>
        <w:t>苗栗縣苗北藝文</w:t>
      </w:r>
      <w:proofErr w:type="gramEnd"/>
      <w:r w:rsidRPr="00BB53EE">
        <w:rPr>
          <w:rFonts w:ascii="標楷體" w:eastAsia="標楷體" w:hAnsi="標楷體" w:hint="eastAsia"/>
          <w:sz w:val="28"/>
          <w:szCs w:val="24"/>
        </w:rPr>
        <w:t>中心</w:t>
      </w:r>
      <w:r w:rsidR="00267378" w:rsidRPr="00BB53EE">
        <w:rPr>
          <w:rFonts w:ascii="標楷體" w:eastAsia="標楷體" w:hAnsi="標楷體" w:hint="eastAsia"/>
          <w:sz w:val="28"/>
          <w:szCs w:val="24"/>
        </w:rPr>
        <w:t>。</w:t>
      </w:r>
      <w:r w:rsidR="00166F1E" w:rsidRPr="00BB53EE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52A87215" w14:textId="77777777" w:rsidR="000B3F05" w:rsidRPr="00BB53EE" w:rsidRDefault="000B3F05" w:rsidP="00166F1E">
      <w:pPr>
        <w:pStyle w:val="a7"/>
        <w:spacing w:line="400" w:lineRule="exact"/>
        <w:ind w:leftChars="201" w:left="482"/>
        <w:rPr>
          <w:rFonts w:ascii="標楷體" w:eastAsia="標楷體" w:hAnsi="標楷體"/>
          <w:sz w:val="28"/>
          <w:szCs w:val="24"/>
        </w:rPr>
      </w:pPr>
    </w:p>
    <w:p w14:paraId="232D7023" w14:textId="77777777" w:rsidR="00083963" w:rsidRPr="00D50FEC" w:rsidRDefault="004A03CD" w:rsidP="00166F1E">
      <w:pPr>
        <w:pStyle w:val="a7"/>
        <w:spacing w:line="400" w:lineRule="exact"/>
        <w:ind w:leftChars="201" w:left="482"/>
        <w:rPr>
          <w:rFonts w:ascii="標楷體" w:eastAsia="標楷體" w:hAnsi="標楷體"/>
          <w:sz w:val="28"/>
          <w:szCs w:val="32"/>
        </w:rPr>
      </w:pPr>
      <w:r w:rsidRPr="00D50FEC">
        <w:rPr>
          <w:rFonts w:ascii="標楷體" w:eastAsia="標楷體" w:hAnsi="標楷體" w:hint="eastAsia"/>
          <w:sz w:val="28"/>
          <w:szCs w:val="32"/>
        </w:rPr>
        <w:t xml:space="preserve">   </w:t>
      </w:r>
    </w:p>
    <w:p w14:paraId="26A6F4CC" w14:textId="6E0A0B27" w:rsidR="00267378" w:rsidRDefault="00267378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125AB73B" w14:textId="14B96C6B" w:rsidR="00267378" w:rsidRDefault="00267378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288108AF" w14:textId="7936E3CF" w:rsidR="00655694" w:rsidRDefault="00655694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49CE6BEB" w14:textId="0F0EE99F" w:rsidR="00655694" w:rsidRDefault="00655694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4A2524AB" w14:textId="0DFC9EE6" w:rsidR="00655694" w:rsidRDefault="00655694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2F688AD0" w14:textId="58A21C50" w:rsidR="00655694" w:rsidRDefault="00655694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25E71A9B" w14:textId="2DF4682D" w:rsidR="00655694" w:rsidRDefault="00655694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2B4F8056" w14:textId="77777777" w:rsidR="00785E17" w:rsidRDefault="00785E17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767D5627" w14:textId="77777777" w:rsidR="00785E17" w:rsidRDefault="00785E17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099B3CE7" w14:textId="77777777" w:rsidR="0010312E" w:rsidRPr="009C2CAF" w:rsidRDefault="0010312E" w:rsidP="00AA596C">
      <w:pPr>
        <w:pStyle w:val="a7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32"/>
          <w:szCs w:val="24"/>
        </w:rPr>
      </w:pPr>
      <w:proofErr w:type="gramStart"/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lastRenderedPageBreak/>
        <w:t>苗北藝文</w:t>
      </w:r>
      <w:proofErr w:type="gramEnd"/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中心</w:t>
      </w:r>
      <w:r w:rsidR="00B2796F"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展演活動</w:t>
      </w:r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統計</w:t>
      </w:r>
      <w:r w:rsidR="004F5F9A"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圖表</w:t>
      </w:r>
      <w:r w:rsidR="00AA596C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及說明</w:t>
      </w:r>
    </w:p>
    <w:p w14:paraId="237C2A95" w14:textId="77777777" w:rsidR="00AB6833" w:rsidRDefault="00AB6833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</w:p>
    <w:p w14:paraId="1685DFF1" w14:textId="77777777" w:rsidR="00357039" w:rsidRDefault="00357039" w:rsidP="00357039">
      <w:pPr>
        <w:pStyle w:val="a7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一、活動舉辦場次</w:t>
      </w:r>
    </w:p>
    <w:p w14:paraId="28ECCC76" w14:textId="332341FD" w:rsidR="00357039" w:rsidRDefault="00357039" w:rsidP="00357039">
      <w:pPr>
        <w:ind w:left="482" w:firstLineChars="200" w:firstLine="560"/>
        <w:jc w:val="both"/>
        <w:rPr>
          <w:rFonts w:ascii="標楷體" w:eastAsia="標楷體" w:hAnsi="標楷體"/>
          <w:sz w:val="28"/>
          <w:szCs w:val="24"/>
        </w:rPr>
      </w:pPr>
      <w:proofErr w:type="gramStart"/>
      <w:r w:rsidRPr="00BB53EE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Pr="00BB53EE">
        <w:rPr>
          <w:rFonts w:ascii="標楷體" w:eastAsia="標楷體" w:hAnsi="標楷體" w:hint="eastAsia"/>
          <w:sz w:val="28"/>
          <w:szCs w:val="24"/>
        </w:rPr>
        <w:t>中心每年平均辦理</w:t>
      </w:r>
      <w:r w:rsidR="00BF3DEC" w:rsidRPr="00BB53EE">
        <w:rPr>
          <w:rFonts w:ascii="標楷體" w:eastAsia="標楷體" w:hAnsi="標楷體" w:hint="eastAsia"/>
          <w:sz w:val="28"/>
          <w:szCs w:val="24"/>
        </w:rPr>
        <w:t>233</w:t>
      </w:r>
      <w:r w:rsidRPr="00BB53EE">
        <w:rPr>
          <w:rFonts w:ascii="標楷體" w:eastAsia="標楷體" w:hAnsi="標楷體" w:hint="eastAsia"/>
          <w:sz w:val="28"/>
          <w:szCs w:val="24"/>
        </w:rPr>
        <w:t>場次不等之展演活動，由圖1：由10</w:t>
      </w:r>
      <w:r w:rsidR="00BF3DEC" w:rsidRPr="00BB53EE">
        <w:rPr>
          <w:rFonts w:ascii="標楷體" w:eastAsia="標楷體" w:hAnsi="標楷體" w:hint="eastAsia"/>
          <w:sz w:val="28"/>
          <w:szCs w:val="24"/>
        </w:rPr>
        <w:t>7</w:t>
      </w:r>
      <w:r w:rsidRPr="00BB53EE">
        <w:rPr>
          <w:rFonts w:ascii="標楷體" w:eastAsia="標楷體" w:hAnsi="標楷體" w:hint="eastAsia"/>
          <w:sz w:val="28"/>
          <w:szCs w:val="24"/>
        </w:rPr>
        <w:t>-111</w:t>
      </w:r>
      <w:r w:rsidRPr="006046F8">
        <w:rPr>
          <w:rFonts w:ascii="標楷體" w:eastAsia="標楷體" w:hAnsi="標楷體" w:hint="eastAsia"/>
          <w:sz w:val="28"/>
          <w:szCs w:val="24"/>
        </w:rPr>
        <w:t>年活動類別</w:t>
      </w:r>
      <w:proofErr w:type="gramStart"/>
      <w:r w:rsidRPr="006046F8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6046F8">
        <w:rPr>
          <w:rFonts w:ascii="標楷體" w:eastAsia="標楷體" w:hAnsi="標楷體" w:hint="eastAsia"/>
          <w:sz w:val="28"/>
          <w:szCs w:val="24"/>
        </w:rPr>
        <w:t>比趨勢分析可知(</w:t>
      </w:r>
      <w:proofErr w:type="gramStart"/>
      <w:r w:rsidRPr="006046F8">
        <w:rPr>
          <w:rFonts w:ascii="標楷體" w:eastAsia="標楷體" w:hAnsi="標楷體" w:hint="eastAsia"/>
          <w:sz w:val="28"/>
          <w:szCs w:val="24"/>
        </w:rPr>
        <w:t>註</w:t>
      </w:r>
      <w:proofErr w:type="gramEnd"/>
      <w:r w:rsidRPr="006046F8">
        <w:rPr>
          <w:rFonts w:ascii="標楷體" w:eastAsia="標楷體" w:hAnsi="標楷體" w:hint="eastAsia"/>
          <w:sz w:val="28"/>
          <w:szCs w:val="24"/>
        </w:rPr>
        <w:t>：自</w:t>
      </w:r>
      <w:proofErr w:type="gramStart"/>
      <w:r w:rsidRPr="006046F8">
        <w:rPr>
          <w:rFonts w:ascii="標楷體" w:eastAsia="標楷體" w:hAnsi="標楷體" w:hint="eastAsia"/>
          <w:sz w:val="28"/>
          <w:szCs w:val="24"/>
        </w:rPr>
        <w:t>109</w:t>
      </w:r>
      <w:proofErr w:type="gramEnd"/>
      <w:r w:rsidRPr="006046F8">
        <w:rPr>
          <w:rFonts w:ascii="標楷體" w:eastAsia="標楷體" w:hAnsi="標楷體" w:hint="eastAsia"/>
          <w:sz w:val="28"/>
          <w:szCs w:val="24"/>
        </w:rPr>
        <w:t>年度起舉辦活動場次類型分類做些微調整)，其中以其他類(</w:t>
      </w:r>
      <w:proofErr w:type="gramStart"/>
      <w:r w:rsidRPr="006046F8">
        <w:rPr>
          <w:rFonts w:ascii="標楷體" w:eastAsia="標楷體" w:hAnsi="標楷體" w:hint="eastAsia"/>
          <w:sz w:val="28"/>
          <w:szCs w:val="24"/>
        </w:rPr>
        <w:t>註</w:t>
      </w:r>
      <w:proofErr w:type="gramEnd"/>
      <w:r w:rsidRPr="006046F8">
        <w:rPr>
          <w:rFonts w:ascii="標楷體" w:eastAsia="標楷體" w:hAnsi="標楷體" w:hint="eastAsia"/>
          <w:sz w:val="28"/>
          <w:szCs w:val="24"/>
        </w:rPr>
        <w:t>：</w:t>
      </w:r>
      <w:proofErr w:type="gramStart"/>
      <w:r w:rsidRPr="006046F8">
        <w:rPr>
          <w:rFonts w:ascii="標楷體" w:eastAsia="標楷體" w:hAnsi="標楷體" w:hint="eastAsia"/>
          <w:sz w:val="28"/>
          <w:szCs w:val="24"/>
        </w:rPr>
        <w:t>其他類係指</w:t>
      </w:r>
      <w:proofErr w:type="gramEnd"/>
      <w:r w:rsidRPr="006046F8">
        <w:rPr>
          <w:rFonts w:ascii="標楷體" w:eastAsia="標楷體" w:hAnsi="標楷體" w:hint="eastAsia"/>
          <w:sz w:val="28"/>
          <w:szCs w:val="24"/>
        </w:rPr>
        <w:t>舉辦比賽、發表會、</w:t>
      </w:r>
      <w:r w:rsidR="00BB53EE" w:rsidRPr="006046F8">
        <w:rPr>
          <w:rFonts w:ascii="標楷體" w:eastAsia="標楷體" w:hAnsi="標楷體" w:hint="eastAsia"/>
          <w:sz w:val="28"/>
          <w:szCs w:val="24"/>
        </w:rPr>
        <w:t>學校相關活動</w:t>
      </w:r>
      <w:r w:rsidRPr="006046F8">
        <w:rPr>
          <w:rFonts w:ascii="標楷體" w:eastAsia="標楷體" w:hAnsi="標楷體" w:hint="eastAsia"/>
          <w:sz w:val="28"/>
          <w:szCs w:val="24"/>
        </w:rPr>
        <w:t>、講座等) 所占比例4</w:t>
      </w:r>
      <w:r w:rsidR="00BF3DEC" w:rsidRPr="006046F8">
        <w:rPr>
          <w:rFonts w:ascii="標楷體" w:eastAsia="標楷體" w:hAnsi="標楷體" w:hint="eastAsia"/>
          <w:sz w:val="28"/>
          <w:szCs w:val="24"/>
        </w:rPr>
        <w:t>8</w:t>
      </w:r>
      <w:r w:rsidRPr="006046F8">
        <w:rPr>
          <w:rFonts w:ascii="標楷體" w:eastAsia="標楷體" w:hAnsi="標楷體" w:hint="eastAsia"/>
          <w:sz w:val="28"/>
          <w:szCs w:val="24"/>
        </w:rPr>
        <w:t>％、音樂類別所占比例4</w:t>
      </w:r>
      <w:r w:rsidR="00BF3DEC" w:rsidRPr="006046F8">
        <w:rPr>
          <w:rFonts w:ascii="標楷體" w:eastAsia="標楷體" w:hAnsi="標楷體" w:hint="eastAsia"/>
          <w:sz w:val="28"/>
          <w:szCs w:val="24"/>
        </w:rPr>
        <w:t>1</w:t>
      </w:r>
      <w:r w:rsidRPr="006046F8">
        <w:rPr>
          <w:rFonts w:ascii="標楷體" w:eastAsia="標楷體" w:hAnsi="標楷體" w:hint="eastAsia"/>
          <w:sz w:val="28"/>
          <w:szCs w:val="24"/>
        </w:rPr>
        <w:t>％，分列第一、第二，</w:t>
      </w:r>
      <w:r w:rsidR="000E2F76" w:rsidRPr="006046F8">
        <w:rPr>
          <w:rFonts w:ascii="標楷體" w:eastAsia="標楷體" w:hAnsi="標楷體" w:hint="eastAsia"/>
          <w:sz w:val="28"/>
          <w:szCs w:val="24"/>
        </w:rPr>
        <w:t>其餘類別</w:t>
      </w:r>
      <w:r w:rsidRPr="006046F8">
        <w:rPr>
          <w:rFonts w:ascii="標楷體" w:eastAsia="標楷體" w:hAnsi="標楷體" w:hint="eastAsia"/>
          <w:sz w:val="28"/>
          <w:szCs w:val="24"/>
        </w:rPr>
        <w:t>，所占比例</w:t>
      </w:r>
      <w:r w:rsidR="00BF3DEC" w:rsidRPr="006046F8">
        <w:rPr>
          <w:rFonts w:ascii="標楷體" w:eastAsia="標楷體" w:hAnsi="標楷體" w:hint="eastAsia"/>
          <w:sz w:val="28"/>
          <w:szCs w:val="24"/>
        </w:rPr>
        <w:t>11</w:t>
      </w:r>
      <w:r w:rsidRPr="006046F8">
        <w:rPr>
          <w:rFonts w:ascii="標楷體" w:eastAsia="標楷體" w:hAnsi="標楷體" w:hint="eastAsia"/>
          <w:sz w:val="28"/>
          <w:szCs w:val="24"/>
        </w:rPr>
        <w:t>％，在</w:t>
      </w:r>
      <w:proofErr w:type="gramStart"/>
      <w:r w:rsidRPr="006046F8">
        <w:rPr>
          <w:rFonts w:ascii="標楷體" w:eastAsia="標楷體" w:hAnsi="標楷體" w:hint="eastAsia"/>
          <w:sz w:val="28"/>
          <w:szCs w:val="24"/>
        </w:rPr>
        <w:t>111</w:t>
      </w:r>
      <w:proofErr w:type="gramEnd"/>
      <w:r w:rsidRPr="006046F8">
        <w:rPr>
          <w:rFonts w:ascii="標楷體" w:eastAsia="標楷體" w:hAnsi="標楷體" w:hint="eastAsia"/>
          <w:sz w:val="28"/>
          <w:szCs w:val="24"/>
        </w:rPr>
        <w:t>年度音樂類、戲劇類比例</w:t>
      </w:r>
      <w:r w:rsidR="000E2F76" w:rsidRPr="00BB53EE">
        <w:rPr>
          <w:rFonts w:ascii="標楷體" w:eastAsia="標楷體" w:hAnsi="標楷體" w:hint="eastAsia"/>
          <w:sz w:val="28"/>
          <w:szCs w:val="24"/>
        </w:rPr>
        <w:t>明顯</w:t>
      </w:r>
      <w:r w:rsidRPr="00BB53EE">
        <w:rPr>
          <w:rFonts w:ascii="標楷體" w:eastAsia="標楷體" w:hAnsi="標楷體" w:hint="eastAsia"/>
          <w:sz w:val="28"/>
          <w:szCs w:val="24"/>
        </w:rPr>
        <w:t>上升（</w:t>
      </w:r>
      <w:r>
        <w:rPr>
          <w:rFonts w:ascii="標楷體" w:eastAsia="標楷體" w:hAnsi="標楷體" w:hint="eastAsia"/>
          <w:sz w:val="28"/>
          <w:szCs w:val="24"/>
        </w:rPr>
        <w:t>詳圖2），希望藉由結合發展在地文化，提昇民眾藝文涵養，以達文化扎根目的；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另圖表</w:t>
      </w:r>
      <w:proofErr w:type="gramEnd"/>
      <w:r>
        <w:rPr>
          <w:rFonts w:ascii="標楷體" w:eastAsia="標楷體" w:hAnsi="標楷體" w:hint="eastAsia"/>
          <w:sz w:val="28"/>
          <w:szCs w:val="24"/>
        </w:rPr>
        <w:t>分析可見歷年辦理活動場次逐年上升趨勢（詳圖3）。</w:t>
      </w:r>
    </w:p>
    <w:p w14:paraId="06C23129" w14:textId="1E7837C1" w:rsidR="00BF3DEC" w:rsidRDefault="00BF3DEC" w:rsidP="00DC3580">
      <w:pPr>
        <w:jc w:val="center"/>
        <w:rPr>
          <w:rFonts w:ascii="標楷體" w:eastAsia="標楷體" w:hAnsi="標楷體"/>
          <w:sz w:val="28"/>
          <w:szCs w:val="24"/>
        </w:rPr>
      </w:pPr>
    </w:p>
    <w:p w14:paraId="76D6393C" w14:textId="09EB1C94" w:rsidR="00655694" w:rsidRDefault="0096094D" w:rsidP="0096094D">
      <w:pPr>
        <w:jc w:val="center"/>
        <w:rPr>
          <w:rFonts w:ascii="標楷體" w:eastAsia="標楷體" w:hAnsi="標楷體"/>
          <w:sz w:val="28"/>
          <w:szCs w:val="24"/>
        </w:rPr>
      </w:pPr>
      <w:r w:rsidRPr="0096094D">
        <w:rPr>
          <w:rFonts w:hint="eastAsia"/>
          <w:noProof/>
        </w:rPr>
        <w:drawing>
          <wp:inline distT="0" distB="0" distL="0" distR="0" wp14:anchorId="43B35DA6" wp14:editId="531C90C8">
            <wp:extent cx="5057881" cy="3503691"/>
            <wp:effectExtent l="0" t="0" r="0" b="1905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881" cy="350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2E1F7" w14:textId="6FCCF361" w:rsidR="00111037" w:rsidRDefault="00637623" w:rsidP="00DC3580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lastRenderedPageBreak/>
        <w:t>圖1：10</w:t>
      </w:r>
      <w:r w:rsidR="000E697A">
        <w:rPr>
          <w:rFonts w:ascii="標楷體" w:eastAsia="標楷體" w:hAnsi="標楷體" w:hint="eastAsia"/>
          <w:sz w:val="28"/>
          <w:szCs w:val="24"/>
        </w:rPr>
        <w:t>7</w:t>
      </w:r>
      <w:r>
        <w:rPr>
          <w:rFonts w:ascii="標楷體" w:eastAsia="標楷體" w:hAnsi="標楷體"/>
          <w:sz w:val="28"/>
          <w:szCs w:val="24"/>
        </w:rPr>
        <w:t>-1</w:t>
      </w:r>
      <w:r w:rsidR="00111037">
        <w:rPr>
          <w:rFonts w:ascii="標楷體" w:eastAsia="標楷體" w:hAnsi="標楷體"/>
          <w:sz w:val="28"/>
          <w:szCs w:val="24"/>
        </w:rPr>
        <w:t>1</w:t>
      </w:r>
      <w:r w:rsidR="000E697A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年活動類別</w:t>
      </w:r>
      <w:proofErr w:type="gramStart"/>
      <w:r>
        <w:rPr>
          <w:rFonts w:ascii="標楷體" w:eastAsia="標楷體" w:hAnsi="標楷體"/>
          <w:sz w:val="28"/>
          <w:szCs w:val="24"/>
        </w:rPr>
        <w:t>佔</w:t>
      </w:r>
      <w:proofErr w:type="gramEnd"/>
      <w:r>
        <w:rPr>
          <w:rFonts w:ascii="標楷體" w:eastAsia="標楷體" w:hAnsi="標楷體"/>
          <w:sz w:val="28"/>
          <w:szCs w:val="24"/>
        </w:rPr>
        <w:t>比</w:t>
      </w:r>
    </w:p>
    <w:p w14:paraId="76C38BAB" w14:textId="744F2E16" w:rsidR="00DC3580" w:rsidRDefault="00DC3580" w:rsidP="00DC3580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inline distT="0" distB="0" distL="0" distR="0" wp14:anchorId="1CA7F589" wp14:editId="4D14ABD4">
            <wp:extent cx="5274310" cy="3752215"/>
            <wp:effectExtent l="0" t="0" r="2540" b="635"/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931CF29-1B83-2AD7-ABA8-9444BA57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BA6824" w14:textId="77777777" w:rsidR="00A52952" w:rsidRDefault="00A52952" w:rsidP="00637623">
      <w:pPr>
        <w:jc w:val="center"/>
        <w:rPr>
          <w:rFonts w:ascii="標楷體" w:eastAsia="標楷體" w:hAnsi="標楷體"/>
          <w:sz w:val="28"/>
          <w:szCs w:val="24"/>
        </w:rPr>
      </w:pPr>
    </w:p>
    <w:p w14:paraId="13FCFFB7" w14:textId="135E9A20" w:rsidR="000E2F76" w:rsidRDefault="00637623" w:rsidP="00655694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圖2：各年度舉辦活動類別／場次</w:t>
      </w:r>
      <w:r w:rsidR="00A52952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71904" behindDoc="0" locked="0" layoutInCell="1" allowOverlap="1" wp14:anchorId="773D1139" wp14:editId="5D1E6ECD">
            <wp:simplePos x="0" y="0"/>
            <wp:positionH relativeFrom="column">
              <wp:posOffset>-426720</wp:posOffset>
            </wp:positionH>
            <wp:positionV relativeFrom="paragraph">
              <wp:posOffset>525780</wp:posOffset>
            </wp:positionV>
            <wp:extent cx="6096635" cy="338328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B5B66" w14:textId="7CE7CBB0" w:rsidR="00D3393F" w:rsidRDefault="00D3393F" w:rsidP="00D3393F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圖3：各年度舉辦活動場次</w:t>
      </w:r>
    </w:p>
    <w:p w14:paraId="618E2228" w14:textId="42003713" w:rsidR="00861E5A" w:rsidRDefault="00974B5A" w:rsidP="00974B5A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30C39D6F" wp14:editId="0EB49D38">
            <wp:extent cx="5166995" cy="2792095"/>
            <wp:effectExtent l="0" t="0" r="0" b="8255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20CE8" w14:textId="77777777" w:rsidR="00974B5A" w:rsidRDefault="00974B5A" w:rsidP="00761609">
      <w:pPr>
        <w:ind w:left="482" w:firstLineChars="200" w:firstLine="560"/>
        <w:jc w:val="both"/>
        <w:rPr>
          <w:rFonts w:ascii="標楷體" w:eastAsia="標楷體" w:hAnsi="標楷體"/>
          <w:sz w:val="28"/>
          <w:szCs w:val="24"/>
        </w:rPr>
      </w:pPr>
    </w:p>
    <w:p w14:paraId="24C14B06" w14:textId="317F4EFB" w:rsidR="00DC7287" w:rsidRPr="0096094D" w:rsidRDefault="00905F8A" w:rsidP="00761609">
      <w:pPr>
        <w:ind w:left="482" w:firstLineChars="200" w:firstLine="560"/>
        <w:jc w:val="both"/>
        <w:rPr>
          <w:rFonts w:ascii="標楷體" w:eastAsia="標楷體" w:hAnsi="標楷體"/>
          <w:color w:val="FF0000"/>
          <w:sz w:val="28"/>
          <w:szCs w:val="24"/>
          <w:shd w:val="pct15" w:color="auto" w:fill="FFFFFF"/>
        </w:rPr>
      </w:pPr>
      <w:r w:rsidRPr="00D06DC0">
        <w:rPr>
          <w:rFonts w:ascii="標楷體" w:eastAsia="標楷體" w:hAnsi="標楷體" w:hint="eastAsia"/>
          <w:sz w:val="28"/>
          <w:szCs w:val="24"/>
        </w:rPr>
        <w:t>而自109年起「</w:t>
      </w:r>
      <w:proofErr w:type="gramStart"/>
      <w:r w:rsidRPr="00D06DC0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Pr="00D06DC0">
        <w:rPr>
          <w:rFonts w:ascii="標楷體" w:eastAsia="標楷體" w:hAnsi="標楷體" w:hint="eastAsia"/>
          <w:sz w:val="28"/>
          <w:szCs w:val="24"/>
        </w:rPr>
        <w:t>中心」轉型為「行政法人」後，舉辦活動演出形式之統計資料做調整，不再侷限以演出活動類型細分為主，而分別以「演出活動」、「藝文展覽」、「教育推展」</w:t>
      </w:r>
      <w:r w:rsidR="00795B36" w:rsidRPr="00D06DC0">
        <w:rPr>
          <w:rFonts w:ascii="標楷體" w:eastAsia="標楷體" w:hAnsi="標楷體" w:hint="eastAsia"/>
          <w:sz w:val="28"/>
          <w:szCs w:val="24"/>
        </w:rPr>
        <w:t>等舉辦活動類型及</w:t>
      </w:r>
      <w:r w:rsidR="00795B36" w:rsidRPr="00D06DC0">
        <w:rPr>
          <w:rFonts w:ascii="標楷體" w:eastAsia="標楷體" w:hAnsi="標楷體"/>
          <w:sz w:val="28"/>
          <w:szCs w:val="24"/>
        </w:rPr>
        <w:t>提供民眾辦理</w:t>
      </w:r>
      <w:r w:rsidR="002C2BC2" w:rsidRPr="00D06DC0">
        <w:rPr>
          <w:rFonts w:ascii="標楷體" w:eastAsia="標楷體" w:hAnsi="標楷體"/>
          <w:sz w:val="28"/>
          <w:szCs w:val="24"/>
        </w:rPr>
        <w:t>活動、</w:t>
      </w:r>
      <w:r w:rsidR="00795B36" w:rsidRPr="00D06DC0">
        <w:rPr>
          <w:rFonts w:ascii="標楷體" w:eastAsia="標楷體" w:hAnsi="標楷體"/>
          <w:sz w:val="28"/>
          <w:szCs w:val="24"/>
        </w:rPr>
        <w:t>演講、會議與教學課程使用等「場域空間」</w:t>
      </w:r>
      <w:r w:rsidR="0022260F" w:rsidRPr="00D06DC0">
        <w:rPr>
          <w:rFonts w:ascii="標楷體" w:eastAsia="標楷體" w:hAnsi="標楷體"/>
          <w:sz w:val="28"/>
          <w:szCs w:val="24"/>
        </w:rPr>
        <w:t>之面向</w:t>
      </w:r>
      <w:r w:rsidR="002C2BC2" w:rsidRPr="00D06DC0">
        <w:rPr>
          <w:rFonts w:ascii="標楷體" w:eastAsia="標楷體" w:hAnsi="標楷體"/>
          <w:sz w:val="28"/>
          <w:szCs w:val="24"/>
        </w:rPr>
        <w:t>做資料統計</w:t>
      </w:r>
      <w:r w:rsidR="00E6196E" w:rsidRPr="00D06DC0">
        <w:rPr>
          <w:rFonts w:ascii="標楷體" w:eastAsia="標楷體" w:hAnsi="標楷體"/>
          <w:sz w:val="28"/>
          <w:szCs w:val="24"/>
        </w:rPr>
        <w:t>（詳表2）</w:t>
      </w:r>
      <w:r w:rsidR="002C2BC2" w:rsidRPr="00D06DC0">
        <w:rPr>
          <w:rFonts w:ascii="標楷體" w:eastAsia="標楷體" w:hAnsi="標楷體"/>
          <w:sz w:val="28"/>
          <w:szCs w:val="24"/>
        </w:rPr>
        <w:t>，多元呈現表演場所活動舉辦情形</w:t>
      </w:r>
      <w:r w:rsidR="008B1132" w:rsidRPr="00D06DC0">
        <w:rPr>
          <w:rFonts w:ascii="標楷體" w:eastAsia="標楷體" w:hAnsi="標楷體"/>
          <w:sz w:val="28"/>
          <w:szCs w:val="24"/>
        </w:rPr>
        <w:t>，</w:t>
      </w:r>
      <w:r w:rsidR="0088335C" w:rsidRPr="00BB53EE">
        <w:rPr>
          <w:rFonts w:ascii="標楷體" w:eastAsia="標楷體" w:hAnsi="標楷體"/>
          <w:sz w:val="28"/>
          <w:szCs w:val="24"/>
        </w:rPr>
        <w:t>11</w:t>
      </w:r>
      <w:r w:rsidR="000E697A" w:rsidRPr="00BB53EE">
        <w:rPr>
          <w:rFonts w:ascii="標楷體" w:eastAsia="標楷體" w:hAnsi="標楷體" w:hint="eastAsia"/>
          <w:sz w:val="28"/>
          <w:szCs w:val="24"/>
        </w:rPr>
        <w:t>1</w:t>
      </w:r>
      <w:r w:rsidR="0088335C" w:rsidRPr="00BB53EE">
        <w:rPr>
          <w:rFonts w:ascii="標楷體" w:eastAsia="標楷體" w:hAnsi="標楷體"/>
          <w:sz w:val="28"/>
          <w:szCs w:val="24"/>
        </w:rPr>
        <w:t>年舉辦活動場次，其中</w:t>
      </w:r>
      <w:r w:rsidR="008B1132" w:rsidRPr="00BB53EE">
        <w:rPr>
          <w:rFonts w:ascii="標楷體" w:eastAsia="標楷體" w:hAnsi="標楷體"/>
          <w:sz w:val="28"/>
          <w:szCs w:val="24"/>
        </w:rPr>
        <w:t>演出活動</w:t>
      </w:r>
      <w:proofErr w:type="gramStart"/>
      <w:r w:rsidR="008B1132" w:rsidRPr="00BB53EE">
        <w:rPr>
          <w:rFonts w:ascii="標楷體" w:eastAsia="標楷體" w:hAnsi="標楷體"/>
          <w:sz w:val="28"/>
          <w:szCs w:val="24"/>
        </w:rPr>
        <w:t>佔</w:t>
      </w:r>
      <w:proofErr w:type="gramEnd"/>
      <w:r w:rsidR="00630B23" w:rsidRPr="00BB53EE">
        <w:rPr>
          <w:rFonts w:ascii="標楷體" w:eastAsia="標楷體" w:hAnsi="標楷體" w:hint="eastAsia"/>
          <w:sz w:val="28"/>
          <w:szCs w:val="24"/>
        </w:rPr>
        <w:t>47</w:t>
      </w:r>
      <w:r w:rsidR="008B1132" w:rsidRPr="00BB53EE">
        <w:rPr>
          <w:rFonts w:ascii="標楷體" w:eastAsia="標楷體" w:hAnsi="標楷體"/>
          <w:sz w:val="28"/>
          <w:szCs w:val="24"/>
        </w:rPr>
        <w:t>％，教育推廣</w:t>
      </w:r>
      <w:proofErr w:type="gramStart"/>
      <w:r w:rsidR="008B1132" w:rsidRPr="00BB53EE">
        <w:rPr>
          <w:rFonts w:ascii="標楷體" w:eastAsia="標楷體" w:hAnsi="標楷體"/>
          <w:sz w:val="28"/>
          <w:szCs w:val="24"/>
        </w:rPr>
        <w:t>佔</w:t>
      </w:r>
      <w:proofErr w:type="gramEnd"/>
      <w:r w:rsidR="00630B23" w:rsidRPr="00BB53EE">
        <w:rPr>
          <w:rFonts w:ascii="標楷體" w:eastAsia="標楷體" w:hAnsi="標楷體" w:hint="eastAsia"/>
          <w:sz w:val="28"/>
          <w:szCs w:val="24"/>
        </w:rPr>
        <w:t>36</w:t>
      </w:r>
      <w:r w:rsidR="008B1132" w:rsidRPr="00BB53EE">
        <w:rPr>
          <w:rFonts w:ascii="標楷體" w:eastAsia="標楷體" w:hAnsi="標楷體"/>
          <w:sz w:val="28"/>
          <w:szCs w:val="24"/>
        </w:rPr>
        <w:t>％次之，藝文展覽為</w:t>
      </w:r>
      <w:r w:rsidR="00630B23" w:rsidRPr="00BB53EE">
        <w:rPr>
          <w:rFonts w:ascii="標楷體" w:eastAsia="標楷體" w:hAnsi="標楷體" w:hint="eastAsia"/>
          <w:sz w:val="28"/>
          <w:szCs w:val="24"/>
        </w:rPr>
        <w:t>6</w:t>
      </w:r>
      <w:r w:rsidR="008B1132" w:rsidRPr="00BB53EE">
        <w:rPr>
          <w:rFonts w:ascii="標楷體" w:eastAsia="標楷體" w:hAnsi="標楷體"/>
          <w:sz w:val="28"/>
          <w:szCs w:val="24"/>
        </w:rPr>
        <w:t>％，而場域空間則為1</w:t>
      </w:r>
      <w:r w:rsidR="00630B23" w:rsidRPr="00BB53EE">
        <w:rPr>
          <w:rFonts w:ascii="標楷體" w:eastAsia="標楷體" w:hAnsi="標楷體" w:hint="eastAsia"/>
          <w:sz w:val="28"/>
          <w:szCs w:val="24"/>
        </w:rPr>
        <w:t>1</w:t>
      </w:r>
      <w:r w:rsidR="008B1132" w:rsidRPr="00BB53EE">
        <w:rPr>
          <w:rFonts w:ascii="標楷體" w:eastAsia="標楷體" w:hAnsi="標楷體"/>
          <w:sz w:val="28"/>
          <w:szCs w:val="24"/>
        </w:rPr>
        <w:t>％（詳圖</w:t>
      </w:r>
      <w:r w:rsidR="0088335C" w:rsidRPr="00BB53EE">
        <w:rPr>
          <w:rFonts w:ascii="標楷體" w:eastAsia="標楷體" w:hAnsi="標楷體"/>
          <w:sz w:val="28"/>
          <w:szCs w:val="24"/>
        </w:rPr>
        <w:t>4</w:t>
      </w:r>
      <w:r w:rsidR="008B1132" w:rsidRPr="00BB53EE">
        <w:rPr>
          <w:rFonts w:ascii="標楷體" w:eastAsia="標楷體" w:hAnsi="標楷體"/>
          <w:sz w:val="28"/>
          <w:szCs w:val="24"/>
        </w:rPr>
        <w:t>）</w:t>
      </w:r>
      <w:r w:rsidR="0022260F" w:rsidRPr="00BB53EE">
        <w:rPr>
          <w:rFonts w:ascii="標楷體" w:eastAsia="標楷體" w:hAnsi="標楷體"/>
          <w:sz w:val="28"/>
          <w:szCs w:val="24"/>
        </w:rPr>
        <w:t>；</w:t>
      </w:r>
      <w:r w:rsidR="00D3393F" w:rsidRPr="00BB53EE">
        <w:rPr>
          <w:rFonts w:ascii="標楷體" w:eastAsia="標楷體" w:hAnsi="標楷體"/>
          <w:sz w:val="28"/>
          <w:szCs w:val="24"/>
        </w:rPr>
        <w:t>而</w:t>
      </w:r>
      <w:r w:rsidR="0088335C" w:rsidRPr="00BB53EE">
        <w:rPr>
          <w:rFonts w:ascii="標楷體" w:eastAsia="標楷體" w:hAnsi="標楷體"/>
          <w:sz w:val="28"/>
          <w:szCs w:val="24"/>
        </w:rPr>
        <w:t>自</w:t>
      </w:r>
      <w:proofErr w:type="gramStart"/>
      <w:r w:rsidR="00D3393F" w:rsidRPr="00BB53EE">
        <w:rPr>
          <w:rFonts w:ascii="標楷體" w:eastAsia="標楷體" w:hAnsi="標楷體"/>
          <w:sz w:val="28"/>
          <w:szCs w:val="24"/>
        </w:rPr>
        <w:t>109</w:t>
      </w:r>
      <w:proofErr w:type="gramEnd"/>
      <w:r w:rsidR="00D3393F" w:rsidRPr="00BB53EE">
        <w:rPr>
          <w:rFonts w:ascii="標楷體" w:eastAsia="標楷體" w:hAnsi="標楷體"/>
          <w:sz w:val="28"/>
          <w:szCs w:val="24"/>
        </w:rPr>
        <w:t>年度</w:t>
      </w:r>
      <w:r w:rsidR="0088335C" w:rsidRPr="00BB53EE">
        <w:rPr>
          <w:rFonts w:ascii="標楷體" w:eastAsia="標楷體" w:hAnsi="標楷體"/>
          <w:sz w:val="28"/>
          <w:szCs w:val="24"/>
        </w:rPr>
        <w:t>起依</w:t>
      </w:r>
      <w:r w:rsidR="008B1132" w:rsidRPr="00BB53EE">
        <w:rPr>
          <w:rFonts w:ascii="標楷體" w:eastAsia="標楷體" w:hAnsi="標楷體"/>
          <w:sz w:val="28"/>
          <w:szCs w:val="24"/>
        </w:rPr>
        <w:t>演出</w:t>
      </w:r>
      <w:r w:rsidR="00D3393F" w:rsidRPr="00BB53EE">
        <w:rPr>
          <w:rFonts w:ascii="標楷體" w:eastAsia="標楷體" w:hAnsi="標楷體"/>
          <w:sz w:val="28"/>
          <w:szCs w:val="24"/>
        </w:rPr>
        <w:t>活動類</w:t>
      </w:r>
      <w:r w:rsidR="008B1132" w:rsidRPr="00BB53EE">
        <w:rPr>
          <w:rFonts w:ascii="標楷體" w:eastAsia="標楷體" w:hAnsi="標楷體"/>
          <w:sz w:val="28"/>
          <w:szCs w:val="24"/>
        </w:rPr>
        <w:t>別場次分析</w:t>
      </w:r>
      <w:r w:rsidR="00D3393F" w:rsidRPr="00BB53EE">
        <w:rPr>
          <w:rFonts w:ascii="標楷體" w:eastAsia="標楷體" w:hAnsi="標楷體"/>
          <w:sz w:val="28"/>
          <w:szCs w:val="24"/>
        </w:rPr>
        <w:t>，</w:t>
      </w:r>
      <w:r w:rsidR="008C7F20" w:rsidRPr="00BB53EE">
        <w:rPr>
          <w:rFonts w:ascii="標楷體" w:eastAsia="標楷體" w:hAnsi="標楷體"/>
          <w:sz w:val="28"/>
          <w:szCs w:val="24"/>
        </w:rPr>
        <w:t>「演出活動」類別又</w:t>
      </w:r>
      <w:r w:rsidR="0022260F" w:rsidRPr="00BB53EE">
        <w:rPr>
          <w:rFonts w:ascii="標楷體" w:eastAsia="標楷體" w:hAnsi="標楷體"/>
          <w:sz w:val="28"/>
          <w:szCs w:val="24"/>
        </w:rPr>
        <w:t>細分音樂類、舞蹈類、戲劇類及其他</w:t>
      </w:r>
      <w:r w:rsidR="006836FC" w:rsidRPr="00BB53EE">
        <w:rPr>
          <w:rFonts w:ascii="標楷體" w:eastAsia="標楷體" w:hAnsi="標楷體"/>
          <w:sz w:val="28"/>
          <w:szCs w:val="24"/>
        </w:rPr>
        <w:t>（詳表3）</w:t>
      </w:r>
      <w:r w:rsidR="0022260F" w:rsidRPr="00BB53EE">
        <w:rPr>
          <w:rFonts w:ascii="標楷體" w:eastAsia="標楷體" w:hAnsi="標楷體"/>
          <w:sz w:val="28"/>
          <w:szCs w:val="24"/>
        </w:rPr>
        <w:t>，</w:t>
      </w:r>
      <w:r w:rsidR="0088335C" w:rsidRPr="00BB53EE">
        <w:rPr>
          <w:rFonts w:ascii="標楷體" w:eastAsia="標楷體" w:hAnsi="標楷體"/>
          <w:sz w:val="28"/>
          <w:szCs w:val="24"/>
        </w:rPr>
        <w:t>其中以</w:t>
      </w:r>
      <w:r w:rsidR="00267378" w:rsidRPr="00BB53EE">
        <w:rPr>
          <w:rFonts w:ascii="標楷體" w:eastAsia="標楷體" w:hAnsi="標楷體" w:hint="eastAsia"/>
          <w:sz w:val="28"/>
          <w:szCs w:val="24"/>
        </w:rPr>
        <w:t>音樂</w:t>
      </w:r>
      <w:r w:rsidR="008C7F20" w:rsidRPr="00BB53EE">
        <w:rPr>
          <w:rFonts w:ascii="標楷體" w:eastAsia="標楷體" w:hAnsi="標楷體"/>
          <w:sz w:val="28"/>
          <w:szCs w:val="24"/>
        </w:rPr>
        <w:t>類為演出活動類別大宗</w:t>
      </w:r>
      <w:proofErr w:type="gramStart"/>
      <w:r w:rsidR="008B1132" w:rsidRPr="00BB53EE">
        <w:rPr>
          <w:rFonts w:ascii="標楷體" w:eastAsia="標楷體" w:hAnsi="標楷體"/>
          <w:sz w:val="28"/>
          <w:szCs w:val="24"/>
        </w:rPr>
        <w:t>佔</w:t>
      </w:r>
      <w:proofErr w:type="gramEnd"/>
      <w:r w:rsidR="005F0C15" w:rsidRPr="00BB53EE">
        <w:rPr>
          <w:rFonts w:ascii="標楷體" w:eastAsia="標楷體" w:hAnsi="標楷體" w:hint="eastAsia"/>
          <w:sz w:val="28"/>
          <w:szCs w:val="24"/>
        </w:rPr>
        <w:t>76</w:t>
      </w:r>
      <w:r w:rsidR="008B1132" w:rsidRPr="00BB53EE">
        <w:rPr>
          <w:rFonts w:ascii="標楷體" w:eastAsia="標楷體" w:hAnsi="標楷體"/>
          <w:sz w:val="28"/>
          <w:szCs w:val="24"/>
        </w:rPr>
        <w:t>％</w:t>
      </w:r>
      <w:r w:rsidR="00DC7287" w:rsidRPr="00BB53EE">
        <w:rPr>
          <w:rFonts w:ascii="標楷體" w:eastAsia="標楷體" w:hAnsi="標楷體"/>
          <w:sz w:val="28"/>
          <w:szCs w:val="24"/>
        </w:rPr>
        <w:t>（詳圖</w:t>
      </w:r>
      <w:r w:rsidR="0088335C" w:rsidRPr="00BB53EE">
        <w:rPr>
          <w:rFonts w:ascii="標楷體" w:eastAsia="標楷體" w:hAnsi="標楷體"/>
          <w:sz w:val="28"/>
          <w:szCs w:val="24"/>
        </w:rPr>
        <w:t>5</w:t>
      </w:r>
      <w:r w:rsidR="00DC7287" w:rsidRPr="00BB53EE">
        <w:rPr>
          <w:rFonts w:ascii="標楷體" w:eastAsia="標楷體" w:hAnsi="標楷體"/>
          <w:sz w:val="28"/>
          <w:szCs w:val="24"/>
        </w:rPr>
        <w:t>）</w:t>
      </w:r>
      <w:r w:rsidR="002C2BC2" w:rsidRPr="00BB53EE">
        <w:rPr>
          <w:rFonts w:ascii="標楷體" w:eastAsia="標楷體" w:hAnsi="標楷體"/>
          <w:sz w:val="28"/>
          <w:szCs w:val="24"/>
        </w:rPr>
        <w:t>。</w:t>
      </w:r>
    </w:p>
    <w:p w14:paraId="73836C76" w14:textId="7D98D2CB" w:rsidR="00974B5A" w:rsidRDefault="00974B5A" w:rsidP="00761609">
      <w:pPr>
        <w:ind w:left="482" w:firstLineChars="200" w:firstLine="560"/>
        <w:jc w:val="both"/>
        <w:rPr>
          <w:rFonts w:ascii="標楷體" w:eastAsia="標楷體" w:hAnsi="標楷體"/>
          <w:color w:val="FF0000"/>
          <w:sz w:val="28"/>
          <w:szCs w:val="24"/>
        </w:rPr>
      </w:pPr>
    </w:p>
    <w:p w14:paraId="2667EDA3" w14:textId="7C05C2C1" w:rsidR="006836FC" w:rsidRPr="006836FC" w:rsidRDefault="00974B5A" w:rsidP="0026230F">
      <w:pPr>
        <w:rPr>
          <w:rFonts w:ascii="標楷體" w:eastAsia="標楷體" w:hAnsi="標楷體"/>
          <w:sz w:val="28"/>
          <w:szCs w:val="24"/>
        </w:rPr>
      </w:pPr>
      <w:r w:rsidRPr="00630B23">
        <w:rPr>
          <w:rFonts w:hint="eastAsia"/>
          <w:noProof/>
        </w:rPr>
        <w:lastRenderedPageBreak/>
        <w:drawing>
          <wp:anchor distT="0" distB="0" distL="114300" distR="114300" simplePos="0" relativeHeight="251772928" behindDoc="0" locked="0" layoutInCell="1" allowOverlap="1" wp14:anchorId="3F6ECFBA" wp14:editId="548D67C5">
            <wp:simplePos x="0" y="0"/>
            <wp:positionH relativeFrom="margin">
              <wp:posOffset>68580</wp:posOffset>
            </wp:positionH>
            <wp:positionV relativeFrom="paragraph">
              <wp:posOffset>144780</wp:posOffset>
            </wp:positionV>
            <wp:extent cx="5196840" cy="1638300"/>
            <wp:effectExtent l="0" t="0" r="381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4527D" w14:textId="5570D00E" w:rsidR="00D3393F" w:rsidRDefault="00D3393F" w:rsidP="00D3393F">
      <w:pPr>
        <w:jc w:val="center"/>
        <w:rPr>
          <w:rFonts w:ascii="標楷體" w:eastAsia="標楷體" w:hAnsi="標楷體"/>
          <w:sz w:val="28"/>
          <w:szCs w:val="24"/>
        </w:rPr>
      </w:pPr>
      <w:r w:rsidRPr="00D3393F">
        <w:rPr>
          <w:rFonts w:ascii="標楷體" w:eastAsia="標楷體" w:hAnsi="標楷體" w:hint="eastAsia"/>
          <w:sz w:val="28"/>
          <w:szCs w:val="24"/>
        </w:rPr>
        <w:t>圖</w:t>
      </w:r>
      <w:r w:rsidR="0088335C">
        <w:rPr>
          <w:rFonts w:ascii="標楷體" w:eastAsia="標楷體" w:hAnsi="標楷體" w:hint="eastAsia"/>
          <w:sz w:val="28"/>
          <w:szCs w:val="24"/>
        </w:rPr>
        <w:t>4</w:t>
      </w:r>
      <w:r w:rsidRPr="00D3393F">
        <w:rPr>
          <w:rFonts w:ascii="標楷體" w:eastAsia="標楷體" w:hAnsi="標楷體" w:hint="eastAsia"/>
          <w:sz w:val="28"/>
          <w:szCs w:val="24"/>
        </w:rPr>
        <w:t>：</w:t>
      </w:r>
      <w:r w:rsidR="00DD0FDD">
        <w:rPr>
          <w:rFonts w:ascii="標楷體" w:eastAsia="標楷體" w:hAnsi="標楷體" w:hint="eastAsia"/>
          <w:sz w:val="28"/>
          <w:szCs w:val="24"/>
        </w:rPr>
        <w:t>11</w:t>
      </w:r>
      <w:r w:rsidR="00630B23">
        <w:rPr>
          <w:rFonts w:ascii="標楷體" w:eastAsia="標楷體" w:hAnsi="標楷體" w:hint="eastAsia"/>
          <w:sz w:val="28"/>
          <w:szCs w:val="24"/>
        </w:rPr>
        <w:t>1</w:t>
      </w:r>
      <w:r w:rsidR="006836FC">
        <w:rPr>
          <w:rFonts w:ascii="標楷體" w:eastAsia="標楷體" w:hAnsi="標楷體"/>
          <w:sz w:val="28"/>
          <w:szCs w:val="24"/>
        </w:rPr>
        <w:t>舉辦</w:t>
      </w:r>
      <w:r w:rsidRPr="00D3393F">
        <w:rPr>
          <w:rFonts w:ascii="標楷體" w:eastAsia="標楷體" w:hAnsi="標楷體" w:hint="eastAsia"/>
          <w:sz w:val="28"/>
          <w:szCs w:val="24"/>
        </w:rPr>
        <w:t>活動類型</w:t>
      </w:r>
      <w:proofErr w:type="gramStart"/>
      <w:r w:rsidRPr="00D3393F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D3393F">
        <w:rPr>
          <w:rFonts w:ascii="標楷體" w:eastAsia="標楷體" w:hAnsi="標楷體" w:hint="eastAsia"/>
          <w:sz w:val="28"/>
          <w:szCs w:val="24"/>
        </w:rPr>
        <w:t>比</w:t>
      </w:r>
    </w:p>
    <w:p w14:paraId="1E610359" w14:textId="63819446" w:rsidR="0026230F" w:rsidRPr="00D3393F" w:rsidRDefault="0026230F" w:rsidP="00D3393F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0792F44A" wp14:editId="5BF3630E">
            <wp:extent cx="5272405" cy="3314700"/>
            <wp:effectExtent l="0" t="0" r="444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527" cy="3324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E0951" w14:textId="6F6B5E9F" w:rsidR="0026230F" w:rsidRDefault="0026230F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45676FBB" w14:textId="6DA899EB" w:rsidR="00396220" w:rsidRDefault="00396220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DEC81F7" w14:textId="0519E37D" w:rsidR="00785E17" w:rsidRDefault="00785E17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6230F">
        <w:rPr>
          <w:rFonts w:hint="eastAsia"/>
          <w:noProof/>
        </w:rPr>
        <w:drawing>
          <wp:anchor distT="0" distB="0" distL="114300" distR="114300" simplePos="0" relativeHeight="251774976" behindDoc="0" locked="0" layoutInCell="1" allowOverlap="1" wp14:anchorId="65824B02" wp14:editId="631464AB">
            <wp:simplePos x="0" y="0"/>
            <wp:positionH relativeFrom="margin">
              <wp:posOffset>1905</wp:posOffset>
            </wp:positionH>
            <wp:positionV relativeFrom="paragraph">
              <wp:posOffset>314960</wp:posOffset>
            </wp:positionV>
            <wp:extent cx="5320665" cy="1493520"/>
            <wp:effectExtent l="0" t="0" r="0" b="0"/>
            <wp:wrapSquare wrapText="bothSides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EEA40" w14:textId="77777777" w:rsidR="00785E17" w:rsidRDefault="00785E17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4C916061" w14:textId="1A445005" w:rsidR="00DC7287" w:rsidRDefault="00DC7287" w:rsidP="00DC7287">
      <w:pPr>
        <w:jc w:val="center"/>
        <w:rPr>
          <w:rFonts w:ascii="標楷體" w:eastAsia="標楷體" w:hAnsi="標楷體"/>
          <w:sz w:val="28"/>
          <w:szCs w:val="24"/>
        </w:rPr>
      </w:pPr>
      <w:r w:rsidRPr="006836FC">
        <w:rPr>
          <w:rFonts w:ascii="標楷體" w:eastAsia="標楷體" w:hAnsi="標楷體"/>
          <w:sz w:val="28"/>
          <w:szCs w:val="24"/>
        </w:rPr>
        <w:lastRenderedPageBreak/>
        <w:t>圖</w:t>
      </w:r>
      <w:r w:rsidR="00407670">
        <w:rPr>
          <w:rFonts w:ascii="標楷體" w:eastAsia="標楷體" w:hAnsi="標楷體"/>
          <w:sz w:val="28"/>
          <w:szCs w:val="24"/>
        </w:rPr>
        <w:t>5</w:t>
      </w:r>
      <w:r w:rsidRPr="006836FC">
        <w:rPr>
          <w:rFonts w:ascii="標楷體" w:eastAsia="標楷體" w:hAnsi="標楷體"/>
          <w:sz w:val="28"/>
          <w:szCs w:val="24"/>
        </w:rPr>
        <w:t>：</w:t>
      </w:r>
      <w:r w:rsidRPr="00AE7D88">
        <w:rPr>
          <w:rFonts w:ascii="標楷體" w:eastAsia="標楷體" w:hAnsi="標楷體"/>
          <w:sz w:val="28"/>
          <w:szCs w:val="24"/>
        </w:rPr>
        <w:t>1</w:t>
      </w:r>
      <w:r w:rsidR="00DD0FDD" w:rsidRPr="00AE7D88">
        <w:rPr>
          <w:rFonts w:ascii="標楷體" w:eastAsia="標楷體" w:hAnsi="標楷體"/>
          <w:sz w:val="28"/>
          <w:szCs w:val="24"/>
        </w:rPr>
        <w:t>1</w:t>
      </w:r>
      <w:r w:rsidR="0026230F">
        <w:rPr>
          <w:rFonts w:ascii="標楷體" w:eastAsia="標楷體" w:hAnsi="標楷體" w:hint="eastAsia"/>
          <w:sz w:val="28"/>
          <w:szCs w:val="24"/>
        </w:rPr>
        <w:t>1</w:t>
      </w:r>
      <w:r w:rsidRPr="00AE7D88">
        <w:rPr>
          <w:rFonts w:ascii="標楷體" w:eastAsia="標楷體" w:hAnsi="標楷體"/>
          <w:sz w:val="28"/>
          <w:szCs w:val="24"/>
        </w:rPr>
        <w:t>年演出活動類別</w:t>
      </w:r>
      <w:proofErr w:type="gramStart"/>
      <w:r w:rsidRPr="00AE7D88">
        <w:rPr>
          <w:rFonts w:ascii="標楷體" w:eastAsia="標楷體" w:hAnsi="標楷體"/>
          <w:sz w:val="28"/>
          <w:szCs w:val="24"/>
        </w:rPr>
        <w:t>佔</w:t>
      </w:r>
      <w:proofErr w:type="gramEnd"/>
      <w:r w:rsidRPr="00AE7D88">
        <w:rPr>
          <w:rFonts w:ascii="標楷體" w:eastAsia="標楷體" w:hAnsi="標楷體"/>
          <w:sz w:val="28"/>
          <w:szCs w:val="24"/>
        </w:rPr>
        <w:t>比</w:t>
      </w:r>
      <w:r w:rsidR="00785E17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86240" behindDoc="1" locked="0" layoutInCell="1" allowOverlap="1" wp14:anchorId="17CFD6F5" wp14:editId="6FE1F395">
            <wp:simplePos x="0" y="0"/>
            <wp:positionH relativeFrom="column">
              <wp:posOffset>161925</wp:posOffset>
            </wp:positionH>
            <wp:positionV relativeFrom="paragraph">
              <wp:posOffset>571500</wp:posOffset>
            </wp:positionV>
            <wp:extent cx="4945380" cy="2972435"/>
            <wp:effectExtent l="0" t="0" r="7620" b="0"/>
            <wp:wrapTight wrapText="bothSides">
              <wp:wrapPolygon edited="0">
                <wp:start x="0" y="0"/>
                <wp:lineTo x="0" y="21457"/>
                <wp:lineTo x="21550" y="21457"/>
                <wp:lineTo x="21550" y="0"/>
                <wp:lineTo x="0" y="0"/>
              </wp:wrapPolygon>
            </wp:wrapTight>
            <wp:docPr id="73349809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297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BE2BD" w14:textId="49C59D5C" w:rsidR="00785E17" w:rsidRDefault="00785E17" w:rsidP="00DC7287">
      <w:pPr>
        <w:jc w:val="center"/>
        <w:rPr>
          <w:rFonts w:ascii="標楷體" w:eastAsia="標楷體" w:hAnsi="標楷體"/>
          <w:sz w:val="28"/>
          <w:szCs w:val="24"/>
        </w:rPr>
      </w:pPr>
    </w:p>
    <w:p w14:paraId="002B43FB" w14:textId="5FD92F37" w:rsidR="008C7F20" w:rsidRPr="00DC7287" w:rsidRDefault="008C7F20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6DBA663" w14:textId="5B91D04A"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14:paraId="047CFBCC" w14:textId="77777777" w:rsidR="00546ECA" w:rsidRPr="00D50FEC" w:rsidRDefault="00546ECA" w:rsidP="00546ECA">
      <w:pPr>
        <w:pStyle w:val="a7"/>
        <w:ind w:leftChars="0"/>
        <w:rPr>
          <w:rFonts w:ascii="標楷體" w:eastAsia="標楷體" w:hAnsi="標楷體"/>
          <w:sz w:val="28"/>
          <w:szCs w:val="32"/>
        </w:rPr>
      </w:pPr>
      <w:r w:rsidRPr="00E36FF3">
        <w:rPr>
          <w:rFonts w:ascii="標楷體" w:eastAsia="標楷體" w:hAnsi="標楷體" w:hint="eastAsia"/>
          <w:sz w:val="28"/>
          <w:szCs w:val="24"/>
        </w:rPr>
        <w:t>二、</w:t>
      </w:r>
      <w:r w:rsidR="00693AC0" w:rsidRPr="00E36FF3">
        <w:rPr>
          <w:rFonts w:ascii="標楷體" w:eastAsia="標楷體" w:hAnsi="標楷體" w:hint="eastAsia"/>
          <w:sz w:val="28"/>
          <w:szCs w:val="24"/>
        </w:rPr>
        <w:t>展演</w:t>
      </w:r>
      <w:r w:rsidR="00867EDD" w:rsidRPr="00E36FF3">
        <w:rPr>
          <w:rFonts w:ascii="標楷體" w:eastAsia="標楷體" w:hAnsi="標楷體" w:hint="eastAsia"/>
          <w:sz w:val="28"/>
          <w:szCs w:val="32"/>
        </w:rPr>
        <w:t>入場聆賞人次</w:t>
      </w:r>
      <w:r w:rsidRPr="00E36FF3">
        <w:rPr>
          <w:rFonts w:ascii="標楷體" w:eastAsia="標楷體" w:hAnsi="標楷體" w:hint="eastAsia"/>
          <w:sz w:val="28"/>
          <w:szCs w:val="24"/>
        </w:rPr>
        <w:t>及</w:t>
      </w:r>
      <w:r w:rsidR="00867EDD" w:rsidRPr="00E36FF3">
        <w:rPr>
          <w:rFonts w:ascii="標楷體" w:eastAsia="標楷體" w:hAnsi="標楷體" w:hint="eastAsia"/>
          <w:sz w:val="28"/>
          <w:szCs w:val="24"/>
        </w:rPr>
        <w:t>入場方式</w:t>
      </w:r>
    </w:p>
    <w:p w14:paraId="49D465A8" w14:textId="2137FC0D" w:rsidR="00867EDD" w:rsidRPr="00BB53EE" w:rsidRDefault="00546ECA" w:rsidP="00D016D8">
      <w:pPr>
        <w:pStyle w:val="a7"/>
        <w:ind w:leftChars="0" w:left="482" w:firstLineChars="200" w:firstLine="560"/>
        <w:jc w:val="both"/>
        <w:rPr>
          <w:rFonts w:ascii="標楷體" w:eastAsia="標楷體" w:hAnsi="標楷體"/>
          <w:sz w:val="28"/>
          <w:szCs w:val="24"/>
        </w:rPr>
      </w:pPr>
      <w:proofErr w:type="gramStart"/>
      <w:r w:rsidRPr="00BB53EE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Pr="00BB53EE">
        <w:rPr>
          <w:rFonts w:ascii="標楷體" w:eastAsia="標楷體" w:hAnsi="標楷體" w:hint="eastAsia"/>
          <w:sz w:val="28"/>
          <w:szCs w:val="24"/>
        </w:rPr>
        <w:t>中心</w:t>
      </w:r>
      <w:r w:rsidR="008E483D" w:rsidRPr="00BB53EE">
        <w:rPr>
          <w:rFonts w:ascii="標楷體" w:eastAsia="標楷體" w:hAnsi="標楷體" w:hint="eastAsia"/>
          <w:sz w:val="28"/>
          <w:szCs w:val="24"/>
        </w:rPr>
        <w:t>10</w:t>
      </w:r>
      <w:r w:rsidR="0042706A" w:rsidRPr="00BB53EE">
        <w:rPr>
          <w:rFonts w:ascii="標楷體" w:eastAsia="標楷體" w:hAnsi="標楷體" w:hint="eastAsia"/>
          <w:sz w:val="28"/>
          <w:szCs w:val="24"/>
        </w:rPr>
        <w:t>7</w:t>
      </w:r>
      <w:r w:rsidR="00753A68" w:rsidRPr="00BB53EE">
        <w:rPr>
          <w:rFonts w:ascii="標楷體" w:eastAsia="標楷體" w:hAnsi="標楷體" w:hint="eastAsia"/>
          <w:sz w:val="28"/>
          <w:szCs w:val="24"/>
        </w:rPr>
        <w:t>年至10</w:t>
      </w:r>
      <w:r w:rsidR="0042706A" w:rsidRPr="00BB53EE">
        <w:rPr>
          <w:rFonts w:ascii="標楷體" w:eastAsia="標楷體" w:hAnsi="標楷體" w:hint="eastAsia"/>
          <w:sz w:val="28"/>
          <w:szCs w:val="24"/>
        </w:rPr>
        <w:t>9</w:t>
      </w:r>
      <w:r w:rsidR="00753A68" w:rsidRPr="00BB53EE">
        <w:rPr>
          <w:rFonts w:ascii="標楷體" w:eastAsia="標楷體" w:hAnsi="標楷體" w:hint="eastAsia"/>
          <w:sz w:val="28"/>
          <w:szCs w:val="24"/>
        </w:rPr>
        <w:t>年止，</w:t>
      </w:r>
      <w:r w:rsidRPr="00BB53EE">
        <w:rPr>
          <w:rFonts w:ascii="標楷體" w:eastAsia="標楷體" w:hAnsi="標楷體" w:hint="eastAsia"/>
          <w:sz w:val="28"/>
          <w:szCs w:val="24"/>
        </w:rPr>
        <w:t>每年參與聆賞約為6</w:t>
      </w:r>
      <w:r w:rsidR="00D016D8" w:rsidRPr="00BB53EE">
        <w:rPr>
          <w:rFonts w:ascii="標楷體" w:eastAsia="標楷體" w:hAnsi="標楷體" w:hint="eastAsia"/>
          <w:sz w:val="28"/>
          <w:szCs w:val="24"/>
        </w:rPr>
        <w:t>.7</w:t>
      </w:r>
      <w:r w:rsidRPr="00BB53EE">
        <w:rPr>
          <w:rFonts w:ascii="標楷體" w:eastAsia="標楷體" w:hAnsi="標楷體" w:hint="eastAsia"/>
          <w:sz w:val="28"/>
          <w:szCs w:val="24"/>
        </w:rPr>
        <w:t>萬人次左右，</w:t>
      </w:r>
      <w:r w:rsidR="004D1014" w:rsidRPr="00BB53EE">
        <w:rPr>
          <w:rFonts w:ascii="標楷體" w:eastAsia="標楷體" w:hAnsi="標楷體" w:hint="eastAsia"/>
          <w:sz w:val="28"/>
          <w:szCs w:val="24"/>
        </w:rPr>
        <w:t>而</w:t>
      </w:r>
      <w:r w:rsidR="0042706A" w:rsidRPr="00BB53EE">
        <w:rPr>
          <w:rFonts w:ascii="標楷體" w:eastAsia="標楷體" w:hAnsi="標楷體" w:hint="eastAsia"/>
          <w:sz w:val="28"/>
          <w:szCs w:val="24"/>
        </w:rPr>
        <w:t>110</w:t>
      </w:r>
      <w:r w:rsidR="004D1014" w:rsidRPr="00BB53EE">
        <w:rPr>
          <w:rFonts w:ascii="標楷體" w:eastAsia="標楷體" w:hAnsi="標楷體" w:hint="eastAsia"/>
          <w:sz w:val="28"/>
          <w:szCs w:val="24"/>
        </w:rPr>
        <w:t>年參與聆賞為7.</w:t>
      </w:r>
      <w:r w:rsidR="0042706A" w:rsidRPr="00BB53EE">
        <w:rPr>
          <w:rFonts w:ascii="標楷體" w:eastAsia="標楷體" w:hAnsi="標楷體" w:hint="eastAsia"/>
          <w:sz w:val="28"/>
          <w:szCs w:val="24"/>
        </w:rPr>
        <w:t>2</w:t>
      </w:r>
      <w:r w:rsidR="004D1014" w:rsidRPr="00BB53EE">
        <w:rPr>
          <w:rFonts w:ascii="標楷體" w:eastAsia="標楷體" w:hAnsi="標楷體" w:hint="eastAsia"/>
          <w:sz w:val="28"/>
          <w:szCs w:val="24"/>
        </w:rPr>
        <w:t>萬人次</w:t>
      </w:r>
      <w:r w:rsidR="00407670" w:rsidRPr="00BB53EE">
        <w:rPr>
          <w:rFonts w:ascii="標楷體" w:eastAsia="標楷體" w:hAnsi="標楷體" w:hint="eastAsia"/>
          <w:sz w:val="28"/>
          <w:szCs w:val="24"/>
        </w:rPr>
        <w:t>，</w:t>
      </w:r>
      <w:r w:rsidR="0042706A" w:rsidRPr="00BB53EE">
        <w:rPr>
          <w:rFonts w:ascii="標楷體" w:eastAsia="標楷體" w:hAnsi="標楷體" w:hint="eastAsia"/>
          <w:sz w:val="28"/>
          <w:szCs w:val="24"/>
        </w:rPr>
        <w:t>111</w:t>
      </w:r>
      <w:r w:rsidR="00407670" w:rsidRPr="00BB53EE">
        <w:rPr>
          <w:rFonts w:ascii="標楷體" w:eastAsia="標楷體" w:hAnsi="標楷體" w:hint="eastAsia"/>
          <w:sz w:val="28"/>
          <w:szCs w:val="24"/>
        </w:rPr>
        <w:t>年則</w:t>
      </w:r>
      <w:r w:rsidR="00EE67F4" w:rsidRPr="00BB53EE">
        <w:rPr>
          <w:rFonts w:ascii="標楷體" w:eastAsia="標楷體" w:hAnsi="標楷體" w:hint="eastAsia"/>
          <w:sz w:val="28"/>
          <w:szCs w:val="24"/>
        </w:rPr>
        <w:t>上升</w:t>
      </w:r>
      <w:r w:rsidR="00407670" w:rsidRPr="00BB53EE">
        <w:rPr>
          <w:rFonts w:ascii="標楷體" w:eastAsia="標楷體" w:hAnsi="標楷體" w:hint="eastAsia"/>
          <w:sz w:val="28"/>
          <w:szCs w:val="24"/>
        </w:rPr>
        <w:t>為</w:t>
      </w:r>
      <w:r w:rsidR="00C51D01" w:rsidRPr="00BB53EE">
        <w:rPr>
          <w:rFonts w:ascii="標楷體" w:eastAsia="標楷體" w:hAnsi="標楷體" w:hint="eastAsia"/>
          <w:sz w:val="28"/>
          <w:szCs w:val="24"/>
        </w:rPr>
        <w:t>12</w:t>
      </w:r>
      <w:r w:rsidR="00407670" w:rsidRPr="00BB53EE">
        <w:rPr>
          <w:rFonts w:ascii="標楷體" w:eastAsia="標楷體" w:hAnsi="標楷體" w:hint="eastAsia"/>
          <w:sz w:val="28"/>
          <w:szCs w:val="24"/>
        </w:rPr>
        <w:t>.</w:t>
      </w:r>
      <w:r w:rsidR="00C51D01" w:rsidRPr="00BB53EE">
        <w:rPr>
          <w:rFonts w:ascii="標楷體" w:eastAsia="標楷體" w:hAnsi="標楷體" w:hint="eastAsia"/>
          <w:sz w:val="28"/>
          <w:szCs w:val="24"/>
        </w:rPr>
        <w:t>6</w:t>
      </w:r>
      <w:r w:rsidR="00407670" w:rsidRPr="00BB53EE">
        <w:rPr>
          <w:rFonts w:ascii="標楷體" w:eastAsia="標楷體" w:hAnsi="標楷體" w:hint="eastAsia"/>
          <w:sz w:val="28"/>
          <w:szCs w:val="24"/>
        </w:rPr>
        <w:t>萬人次</w:t>
      </w:r>
      <w:r w:rsidR="004D1014" w:rsidRPr="00BB53EE">
        <w:rPr>
          <w:rFonts w:ascii="標楷體" w:eastAsia="標楷體" w:hAnsi="標楷體"/>
          <w:sz w:val="28"/>
          <w:szCs w:val="24"/>
        </w:rPr>
        <w:t>（詳表4</w:t>
      </w:r>
      <w:r w:rsidR="00867EDD" w:rsidRPr="00BB53EE">
        <w:rPr>
          <w:rFonts w:ascii="標楷體" w:eastAsia="標楷體" w:hAnsi="標楷體"/>
          <w:sz w:val="28"/>
          <w:szCs w:val="24"/>
        </w:rPr>
        <w:t>及圖</w:t>
      </w:r>
      <w:r w:rsidR="00407670" w:rsidRPr="00BB53EE">
        <w:rPr>
          <w:rFonts w:ascii="標楷體" w:eastAsia="標楷體" w:hAnsi="標楷體"/>
          <w:sz w:val="28"/>
          <w:szCs w:val="24"/>
        </w:rPr>
        <w:t>6</w:t>
      </w:r>
      <w:r w:rsidR="004D1014" w:rsidRPr="00BB53EE">
        <w:rPr>
          <w:rFonts w:ascii="標楷體" w:eastAsia="標楷體" w:hAnsi="標楷體"/>
          <w:sz w:val="28"/>
          <w:szCs w:val="24"/>
        </w:rPr>
        <w:t>）</w:t>
      </w:r>
      <w:r w:rsidR="004D1014" w:rsidRPr="00BB53EE">
        <w:rPr>
          <w:rFonts w:ascii="標楷體" w:eastAsia="標楷體" w:hAnsi="標楷體" w:hint="eastAsia"/>
          <w:sz w:val="28"/>
          <w:szCs w:val="24"/>
        </w:rPr>
        <w:t>，</w:t>
      </w:r>
      <w:r w:rsidR="00867EDD" w:rsidRPr="00BB53EE">
        <w:rPr>
          <w:rFonts w:ascii="標楷體" w:eastAsia="標楷體" w:hAnsi="標楷體" w:hint="eastAsia"/>
          <w:sz w:val="28"/>
          <w:szCs w:val="24"/>
        </w:rPr>
        <w:t>依</w:t>
      </w:r>
      <w:r w:rsidR="00216C7E" w:rsidRPr="00BB53EE">
        <w:rPr>
          <w:rFonts w:ascii="標楷體" w:eastAsia="標楷體" w:hAnsi="標楷體" w:hint="eastAsia"/>
          <w:sz w:val="28"/>
          <w:szCs w:val="24"/>
        </w:rPr>
        <w:t>近五年</w:t>
      </w:r>
      <w:r w:rsidR="00867EDD" w:rsidRPr="00BB53EE">
        <w:rPr>
          <w:rFonts w:ascii="標楷體" w:eastAsia="標楷體" w:hAnsi="標楷體" w:hint="eastAsia"/>
          <w:sz w:val="28"/>
          <w:szCs w:val="24"/>
        </w:rPr>
        <w:t>入場聆賞人次</w:t>
      </w:r>
      <w:proofErr w:type="gramStart"/>
      <w:r w:rsidR="00867EDD" w:rsidRPr="00BB53EE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867EDD" w:rsidRPr="00BB53EE">
        <w:rPr>
          <w:rFonts w:ascii="標楷體" w:eastAsia="標楷體" w:hAnsi="標楷體" w:hint="eastAsia"/>
          <w:sz w:val="28"/>
          <w:szCs w:val="24"/>
        </w:rPr>
        <w:t>比</w:t>
      </w:r>
      <w:proofErr w:type="gramStart"/>
      <w:r w:rsidR="00867EDD" w:rsidRPr="00BB53EE">
        <w:rPr>
          <w:rFonts w:ascii="標楷體" w:eastAsia="標楷體" w:hAnsi="標楷體" w:hint="eastAsia"/>
          <w:sz w:val="28"/>
          <w:szCs w:val="24"/>
        </w:rPr>
        <w:t>（註</w:t>
      </w:r>
      <w:proofErr w:type="gramEnd"/>
      <w:r w:rsidR="00867EDD" w:rsidRPr="00BB53EE">
        <w:rPr>
          <w:rFonts w:ascii="標楷體" w:eastAsia="標楷體" w:hAnsi="標楷體" w:hint="eastAsia"/>
          <w:sz w:val="28"/>
          <w:szCs w:val="24"/>
        </w:rPr>
        <w:t>：自109年起僅分類售票及非售票進場</w:t>
      </w:r>
      <w:r w:rsidR="00AE5C8D">
        <w:rPr>
          <w:rFonts w:ascii="標楷體" w:eastAsia="標楷體" w:hAnsi="標楷體" w:hint="eastAsia"/>
          <w:sz w:val="28"/>
          <w:szCs w:val="24"/>
        </w:rPr>
        <w:t>人次</w:t>
      </w:r>
      <w:r w:rsidR="00867EDD" w:rsidRPr="00BB53EE">
        <w:rPr>
          <w:rFonts w:ascii="標楷體" w:eastAsia="標楷體" w:hAnsi="標楷體" w:hint="eastAsia"/>
          <w:sz w:val="28"/>
          <w:szCs w:val="24"/>
        </w:rPr>
        <w:t>計算</w:t>
      </w:r>
      <w:proofErr w:type="gramStart"/>
      <w:r w:rsidR="00867EDD" w:rsidRPr="00BB53EE">
        <w:rPr>
          <w:rFonts w:ascii="標楷體" w:eastAsia="標楷體" w:hAnsi="標楷體" w:hint="eastAsia"/>
          <w:sz w:val="28"/>
          <w:szCs w:val="24"/>
        </w:rPr>
        <w:t>）</w:t>
      </w:r>
      <w:proofErr w:type="gramEnd"/>
      <w:r w:rsidR="00867EDD" w:rsidRPr="00BB53EE">
        <w:rPr>
          <w:rFonts w:ascii="標楷體" w:eastAsia="標楷體" w:hAnsi="標楷體" w:hint="eastAsia"/>
          <w:sz w:val="28"/>
          <w:szCs w:val="24"/>
        </w:rPr>
        <w:t>分析，非售票進場</w:t>
      </w:r>
      <w:r w:rsidR="00AE5C8D">
        <w:rPr>
          <w:rFonts w:ascii="標楷體" w:eastAsia="標楷體" w:hAnsi="標楷體" w:hint="eastAsia"/>
          <w:sz w:val="28"/>
          <w:szCs w:val="24"/>
        </w:rPr>
        <w:t>人次</w:t>
      </w:r>
      <w:proofErr w:type="gramStart"/>
      <w:r w:rsidR="00867EDD" w:rsidRPr="00BB53EE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EE67F4" w:rsidRPr="00BB53EE">
        <w:rPr>
          <w:rFonts w:ascii="標楷體" w:eastAsia="標楷體" w:hAnsi="標楷體" w:hint="eastAsia"/>
          <w:sz w:val="28"/>
          <w:szCs w:val="24"/>
        </w:rPr>
        <w:t>64</w:t>
      </w:r>
      <w:r w:rsidR="00867EDD" w:rsidRPr="00BB53EE">
        <w:rPr>
          <w:rFonts w:ascii="標楷體" w:eastAsia="標楷體" w:hAnsi="標楷體" w:hint="eastAsia"/>
          <w:sz w:val="28"/>
          <w:szCs w:val="24"/>
        </w:rPr>
        <w:t>％，而售票進場</w:t>
      </w:r>
      <w:r w:rsidR="00AE5C8D">
        <w:rPr>
          <w:rFonts w:ascii="標楷體" w:eastAsia="標楷體" w:hAnsi="標楷體" w:hint="eastAsia"/>
          <w:sz w:val="28"/>
          <w:szCs w:val="24"/>
        </w:rPr>
        <w:t>人次</w:t>
      </w:r>
      <w:proofErr w:type="gramStart"/>
      <w:r w:rsidR="00867EDD" w:rsidRPr="00BB53EE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867EDD" w:rsidRPr="00BB53EE">
        <w:rPr>
          <w:rFonts w:ascii="標楷體" w:eastAsia="標楷體" w:hAnsi="標楷體" w:hint="eastAsia"/>
          <w:sz w:val="28"/>
          <w:szCs w:val="24"/>
        </w:rPr>
        <w:t>2</w:t>
      </w:r>
      <w:r w:rsidR="00EE67F4" w:rsidRPr="00BB53EE">
        <w:rPr>
          <w:rFonts w:ascii="標楷體" w:eastAsia="標楷體" w:hAnsi="標楷體" w:hint="eastAsia"/>
          <w:sz w:val="28"/>
          <w:szCs w:val="24"/>
        </w:rPr>
        <w:t>3</w:t>
      </w:r>
      <w:r w:rsidR="00867EDD" w:rsidRPr="00BB53EE">
        <w:rPr>
          <w:rFonts w:ascii="標楷體" w:eastAsia="標楷體" w:hAnsi="標楷體" w:hint="eastAsia"/>
          <w:sz w:val="28"/>
          <w:szCs w:val="24"/>
        </w:rPr>
        <w:t>％次之，管制入場</w:t>
      </w:r>
      <w:r w:rsidR="00AE5C8D">
        <w:rPr>
          <w:rFonts w:ascii="標楷體" w:eastAsia="標楷體" w:hAnsi="標楷體" w:hint="eastAsia"/>
          <w:sz w:val="28"/>
          <w:szCs w:val="24"/>
        </w:rPr>
        <w:t>人次</w:t>
      </w:r>
      <w:r w:rsidR="00867EDD" w:rsidRPr="00BB53EE">
        <w:rPr>
          <w:rFonts w:ascii="標楷體" w:eastAsia="標楷體" w:hAnsi="標楷體" w:hint="eastAsia"/>
          <w:sz w:val="28"/>
          <w:szCs w:val="24"/>
        </w:rPr>
        <w:t>則</w:t>
      </w:r>
      <w:proofErr w:type="gramStart"/>
      <w:r w:rsidR="00867EDD" w:rsidRPr="00BB53EE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EE67F4" w:rsidRPr="00BB53EE">
        <w:rPr>
          <w:rFonts w:ascii="標楷體" w:eastAsia="標楷體" w:hAnsi="標楷體" w:hint="eastAsia"/>
          <w:sz w:val="28"/>
          <w:szCs w:val="24"/>
        </w:rPr>
        <w:t>13</w:t>
      </w:r>
      <w:r w:rsidR="00867EDD" w:rsidRPr="00BB53EE">
        <w:rPr>
          <w:rFonts w:ascii="標楷體" w:eastAsia="標楷體" w:hAnsi="標楷體" w:hint="eastAsia"/>
          <w:sz w:val="28"/>
          <w:szCs w:val="24"/>
        </w:rPr>
        <w:t>％（詳圖</w:t>
      </w:r>
      <w:r w:rsidR="00407670" w:rsidRPr="00BB53EE">
        <w:rPr>
          <w:rFonts w:ascii="標楷體" w:eastAsia="標楷體" w:hAnsi="標楷體" w:hint="eastAsia"/>
          <w:sz w:val="28"/>
          <w:szCs w:val="24"/>
        </w:rPr>
        <w:t>7</w:t>
      </w:r>
      <w:r w:rsidR="00867EDD" w:rsidRPr="00BB53EE">
        <w:rPr>
          <w:rFonts w:ascii="標楷體" w:eastAsia="標楷體" w:hAnsi="標楷體" w:hint="eastAsia"/>
          <w:sz w:val="28"/>
          <w:szCs w:val="24"/>
        </w:rPr>
        <w:t>）。</w:t>
      </w:r>
    </w:p>
    <w:p w14:paraId="3D52E9F4" w14:textId="5620776C" w:rsidR="00DD0FDD" w:rsidRDefault="00DD0FDD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</w:p>
    <w:p w14:paraId="74CF1277" w14:textId="01132288" w:rsidR="00C51D01" w:rsidRDefault="00B73C32" w:rsidP="00216C7E">
      <w:pPr>
        <w:jc w:val="center"/>
        <w:rPr>
          <w:rFonts w:ascii="標楷體" w:eastAsia="標楷體" w:hAnsi="標楷體"/>
          <w:sz w:val="28"/>
          <w:szCs w:val="24"/>
        </w:rPr>
      </w:pPr>
      <w:r w:rsidRPr="00B73C32">
        <w:rPr>
          <w:noProof/>
        </w:rPr>
        <w:lastRenderedPageBreak/>
        <w:drawing>
          <wp:inline distT="0" distB="0" distL="0" distR="0" wp14:anchorId="4EFA66DB" wp14:editId="046A3798">
            <wp:extent cx="5196840" cy="1432540"/>
            <wp:effectExtent l="0" t="0" r="3810" b="0"/>
            <wp:docPr id="133551786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02" cy="143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86DA1" w14:textId="77777777" w:rsidR="005E0D2C" w:rsidRDefault="005E0D2C" w:rsidP="00216C7E">
      <w:pPr>
        <w:jc w:val="center"/>
        <w:rPr>
          <w:rFonts w:ascii="標楷體" w:eastAsia="標楷體" w:hAnsi="標楷體"/>
          <w:sz w:val="28"/>
          <w:szCs w:val="24"/>
        </w:rPr>
      </w:pPr>
    </w:p>
    <w:p w14:paraId="30E5FE19" w14:textId="6013C278" w:rsidR="00216C7E" w:rsidRDefault="00B73C32" w:rsidP="00216C7E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87264" behindDoc="0" locked="0" layoutInCell="1" allowOverlap="1" wp14:anchorId="4EDB9675" wp14:editId="1B948E6B">
            <wp:simplePos x="0" y="0"/>
            <wp:positionH relativeFrom="column">
              <wp:posOffset>-264795</wp:posOffset>
            </wp:positionH>
            <wp:positionV relativeFrom="paragraph">
              <wp:posOffset>411480</wp:posOffset>
            </wp:positionV>
            <wp:extent cx="5807075" cy="2827020"/>
            <wp:effectExtent l="0" t="0" r="3175" b="0"/>
            <wp:wrapThrough wrapText="bothSides">
              <wp:wrapPolygon edited="0">
                <wp:start x="0" y="0"/>
                <wp:lineTo x="0" y="21396"/>
                <wp:lineTo x="21541" y="21396"/>
                <wp:lineTo x="21541" y="0"/>
                <wp:lineTo x="0" y="0"/>
              </wp:wrapPolygon>
            </wp:wrapThrough>
            <wp:docPr id="70149269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282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C7E" w:rsidRPr="006836FC">
        <w:rPr>
          <w:rFonts w:ascii="標楷體" w:eastAsia="標楷體" w:hAnsi="標楷體"/>
          <w:sz w:val="28"/>
          <w:szCs w:val="24"/>
        </w:rPr>
        <w:t>圖</w:t>
      </w:r>
      <w:r w:rsidR="00407670">
        <w:rPr>
          <w:rFonts w:ascii="標楷體" w:eastAsia="標楷體" w:hAnsi="標楷體"/>
          <w:sz w:val="28"/>
          <w:szCs w:val="24"/>
        </w:rPr>
        <w:t>6</w:t>
      </w:r>
      <w:r w:rsidR="00216C7E" w:rsidRPr="006836FC">
        <w:rPr>
          <w:rFonts w:ascii="標楷體" w:eastAsia="標楷體" w:hAnsi="標楷體"/>
          <w:sz w:val="28"/>
          <w:szCs w:val="24"/>
        </w:rPr>
        <w:t>：</w:t>
      </w:r>
      <w:r w:rsidR="00216C7E">
        <w:rPr>
          <w:rFonts w:ascii="標楷體" w:eastAsia="標楷體" w:hAnsi="標楷體"/>
          <w:sz w:val="28"/>
          <w:szCs w:val="24"/>
        </w:rPr>
        <w:t>10</w:t>
      </w:r>
      <w:r w:rsidR="007C57B6">
        <w:rPr>
          <w:rFonts w:ascii="標楷體" w:eastAsia="標楷體" w:hAnsi="標楷體" w:hint="eastAsia"/>
          <w:sz w:val="28"/>
          <w:szCs w:val="24"/>
        </w:rPr>
        <w:t>7</w:t>
      </w:r>
      <w:r w:rsidR="00216C7E">
        <w:rPr>
          <w:rFonts w:ascii="標楷體" w:eastAsia="標楷體" w:hAnsi="標楷體"/>
          <w:sz w:val="28"/>
          <w:szCs w:val="24"/>
        </w:rPr>
        <w:t>-1</w:t>
      </w:r>
      <w:r w:rsidR="00DD0FDD">
        <w:rPr>
          <w:rFonts w:ascii="標楷體" w:eastAsia="標楷體" w:hAnsi="標楷體"/>
          <w:sz w:val="28"/>
          <w:szCs w:val="24"/>
        </w:rPr>
        <w:t>1</w:t>
      </w:r>
      <w:r w:rsidR="007C57B6">
        <w:rPr>
          <w:rFonts w:ascii="標楷體" w:eastAsia="標楷體" w:hAnsi="標楷體" w:hint="eastAsia"/>
          <w:sz w:val="28"/>
          <w:szCs w:val="24"/>
        </w:rPr>
        <w:t>1</w:t>
      </w:r>
      <w:r w:rsidR="00216C7E">
        <w:rPr>
          <w:rFonts w:ascii="標楷體" w:eastAsia="標楷體" w:hAnsi="標楷體"/>
          <w:sz w:val="28"/>
          <w:szCs w:val="24"/>
        </w:rPr>
        <w:t>年入場聆賞人次</w:t>
      </w:r>
    </w:p>
    <w:p w14:paraId="2E6D1439" w14:textId="77777777" w:rsidR="0021714B" w:rsidRDefault="007C57B6" w:rsidP="007C57B6">
      <w:pPr>
        <w:jc w:val="center"/>
        <w:rPr>
          <w:rFonts w:ascii="標楷體" w:eastAsia="標楷體" w:hAnsi="標楷體"/>
          <w:sz w:val="28"/>
          <w:szCs w:val="24"/>
        </w:rPr>
      </w:pPr>
      <w:r w:rsidRPr="00DD676C">
        <w:rPr>
          <w:rFonts w:ascii="標楷體" w:eastAsia="標楷體" w:hAnsi="標楷體"/>
          <w:sz w:val="28"/>
          <w:szCs w:val="24"/>
        </w:rPr>
        <w:t>圖</w:t>
      </w:r>
      <w:r>
        <w:rPr>
          <w:rFonts w:ascii="標楷體" w:eastAsia="標楷體" w:hAnsi="標楷體"/>
          <w:sz w:val="28"/>
          <w:szCs w:val="24"/>
        </w:rPr>
        <w:t>7</w:t>
      </w:r>
      <w:r w:rsidRPr="00DD676C">
        <w:rPr>
          <w:rFonts w:ascii="標楷體" w:eastAsia="標楷體" w:hAnsi="標楷體"/>
          <w:sz w:val="28"/>
          <w:szCs w:val="24"/>
        </w:rPr>
        <w:t>：10</w:t>
      </w:r>
      <w:r w:rsidR="00C51D01">
        <w:rPr>
          <w:rFonts w:ascii="標楷體" w:eastAsia="標楷體" w:hAnsi="標楷體" w:hint="eastAsia"/>
          <w:sz w:val="28"/>
          <w:szCs w:val="24"/>
        </w:rPr>
        <w:t>7</w:t>
      </w:r>
      <w:r w:rsidRPr="00DD676C">
        <w:rPr>
          <w:rFonts w:ascii="標楷體" w:eastAsia="標楷體" w:hAnsi="標楷體"/>
          <w:sz w:val="28"/>
          <w:szCs w:val="24"/>
        </w:rPr>
        <w:t>-1</w:t>
      </w:r>
      <w:r>
        <w:rPr>
          <w:rFonts w:ascii="標楷體" w:eastAsia="標楷體" w:hAnsi="標楷體"/>
          <w:sz w:val="28"/>
          <w:szCs w:val="24"/>
        </w:rPr>
        <w:t>1</w:t>
      </w:r>
      <w:r w:rsidR="00C51D01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年入場聆賞人次</w:t>
      </w:r>
      <w:proofErr w:type="gramStart"/>
      <w:r>
        <w:rPr>
          <w:rFonts w:ascii="標楷體" w:eastAsia="標楷體" w:hAnsi="標楷體"/>
          <w:sz w:val="28"/>
          <w:szCs w:val="24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4"/>
        </w:rPr>
        <w:t>比</w:t>
      </w:r>
    </w:p>
    <w:p w14:paraId="0D6D05E9" w14:textId="0AD606BC" w:rsidR="007C57B6" w:rsidRDefault="0021714B" w:rsidP="007C57B6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02D7DAB0" wp14:editId="45B6B9C6">
            <wp:extent cx="4914900" cy="2720340"/>
            <wp:effectExtent l="0" t="0" r="0" b="3810"/>
            <wp:docPr id="131831040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2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98CD1" w14:textId="18CB7787"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截至108年止，舉辦活動展演形式之資料統計僅依表演活動型態做細分類統計，例如音樂類、舞蹈類…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等，自109年起「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中心」轉型為「行政法人」後，舉辦活動演出形式之統計資料做調整，不再侷限以演出活動類型細分為主，而分別以「演出活動」、「藝文展覽」、「教育推展」等舉辦活動類型及</w:t>
      </w:r>
      <w:r w:rsidRPr="00795B36">
        <w:rPr>
          <w:rFonts w:ascii="標楷體" w:eastAsia="標楷體" w:hAnsi="標楷體"/>
          <w:sz w:val="28"/>
          <w:szCs w:val="24"/>
        </w:rPr>
        <w:t>提供民眾辦理</w:t>
      </w:r>
      <w:r>
        <w:rPr>
          <w:rFonts w:ascii="標楷體" w:eastAsia="標楷體" w:hAnsi="標楷體"/>
          <w:sz w:val="28"/>
          <w:szCs w:val="24"/>
        </w:rPr>
        <w:t>活動、</w:t>
      </w:r>
      <w:r w:rsidRPr="00795B36">
        <w:rPr>
          <w:rFonts w:ascii="標楷體" w:eastAsia="標楷體" w:hAnsi="標楷體"/>
          <w:sz w:val="28"/>
          <w:szCs w:val="24"/>
        </w:rPr>
        <w:t>演講、會議與教學課程使用</w:t>
      </w:r>
      <w:r>
        <w:rPr>
          <w:rFonts w:ascii="標楷體" w:eastAsia="標楷體" w:hAnsi="標楷體"/>
          <w:sz w:val="28"/>
          <w:szCs w:val="24"/>
        </w:rPr>
        <w:t>等「場域空間」之面向做資料統計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0FFBF1F7" w14:textId="77777777"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4F7E5883" w14:textId="2480C17A" w:rsidR="00A96466" w:rsidRDefault="00A96466" w:rsidP="00BB53EE">
      <w:pPr>
        <w:pStyle w:val="a7"/>
        <w:ind w:leftChars="0" w:left="482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BB53EE">
        <w:rPr>
          <w:rFonts w:ascii="標楷體" w:eastAsia="標楷體" w:hAnsi="標楷體" w:hint="eastAsia"/>
          <w:sz w:val="28"/>
          <w:szCs w:val="24"/>
        </w:rPr>
        <w:t>針對</w:t>
      </w:r>
      <w:proofErr w:type="gramStart"/>
      <w:r w:rsidRPr="00BB53EE">
        <w:rPr>
          <w:rFonts w:ascii="標楷體" w:eastAsia="標楷體" w:hAnsi="標楷體" w:hint="eastAsia"/>
          <w:sz w:val="28"/>
          <w:szCs w:val="24"/>
        </w:rPr>
        <w:t>1</w:t>
      </w:r>
      <w:r w:rsidR="00407670" w:rsidRPr="00BB53EE">
        <w:rPr>
          <w:rFonts w:ascii="標楷體" w:eastAsia="標楷體" w:hAnsi="標楷體" w:hint="eastAsia"/>
          <w:sz w:val="28"/>
          <w:szCs w:val="24"/>
        </w:rPr>
        <w:t>1</w:t>
      </w:r>
      <w:r w:rsidR="006E1C6E" w:rsidRPr="00BB53EE">
        <w:rPr>
          <w:rFonts w:ascii="標楷體" w:eastAsia="標楷體" w:hAnsi="標楷體" w:hint="eastAsia"/>
          <w:sz w:val="28"/>
          <w:szCs w:val="24"/>
        </w:rPr>
        <w:t>1</w:t>
      </w:r>
      <w:proofErr w:type="gramEnd"/>
      <w:r w:rsidRPr="00BB53EE">
        <w:rPr>
          <w:rFonts w:ascii="標楷體" w:eastAsia="標楷體" w:hAnsi="標楷體" w:hint="eastAsia"/>
          <w:sz w:val="28"/>
          <w:szCs w:val="24"/>
        </w:rPr>
        <w:t>年度入場聆賞人次作分析，依</w:t>
      </w:r>
      <w:proofErr w:type="gramStart"/>
      <w:r w:rsidRPr="00BB53EE">
        <w:rPr>
          <w:rFonts w:ascii="標楷體" w:eastAsia="標楷體" w:hAnsi="標楷體" w:hint="eastAsia"/>
          <w:sz w:val="28"/>
          <w:szCs w:val="24"/>
        </w:rPr>
        <w:t>1</w:t>
      </w:r>
      <w:r w:rsidR="00407670" w:rsidRPr="00BB53EE">
        <w:rPr>
          <w:rFonts w:ascii="標楷體" w:eastAsia="標楷體" w:hAnsi="標楷體" w:hint="eastAsia"/>
          <w:sz w:val="28"/>
          <w:szCs w:val="24"/>
        </w:rPr>
        <w:t>1</w:t>
      </w:r>
      <w:r w:rsidR="006E1C6E" w:rsidRPr="00BB53EE">
        <w:rPr>
          <w:rFonts w:ascii="標楷體" w:eastAsia="標楷體" w:hAnsi="標楷體" w:hint="eastAsia"/>
          <w:sz w:val="28"/>
          <w:szCs w:val="24"/>
        </w:rPr>
        <w:t>1</w:t>
      </w:r>
      <w:proofErr w:type="gramEnd"/>
      <w:r w:rsidRPr="00BB53EE">
        <w:rPr>
          <w:rFonts w:ascii="標楷體" w:eastAsia="標楷體" w:hAnsi="標楷體" w:hint="eastAsia"/>
          <w:sz w:val="28"/>
          <w:szCs w:val="24"/>
        </w:rPr>
        <w:t>年度各類展演活動入場聆賞人次</w:t>
      </w:r>
      <w:proofErr w:type="gramStart"/>
      <w:r w:rsidRPr="00BB53EE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BB53EE">
        <w:rPr>
          <w:rFonts w:ascii="標楷體" w:eastAsia="標楷體" w:hAnsi="標楷體" w:hint="eastAsia"/>
          <w:sz w:val="28"/>
          <w:szCs w:val="24"/>
        </w:rPr>
        <w:t>比，以藝文</w:t>
      </w:r>
      <w:r w:rsidRPr="00327662">
        <w:rPr>
          <w:rFonts w:ascii="標楷體" w:eastAsia="標楷體" w:hAnsi="標楷體" w:hint="eastAsia"/>
          <w:sz w:val="28"/>
          <w:szCs w:val="24"/>
        </w:rPr>
        <w:t>展覽比</w:t>
      </w:r>
      <w:proofErr w:type="gramStart"/>
      <w:r w:rsidRPr="00327662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644A04" w:rsidRPr="00327662">
        <w:rPr>
          <w:rFonts w:ascii="標楷體" w:eastAsia="標楷體" w:hAnsi="標楷體" w:hint="eastAsia"/>
          <w:sz w:val="28"/>
          <w:szCs w:val="24"/>
        </w:rPr>
        <w:t>6</w:t>
      </w:r>
      <w:r w:rsidR="0021714B" w:rsidRPr="00327662">
        <w:rPr>
          <w:rFonts w:ascii="標楷體" w:eastAsia="標楷體" w:hAnsi="標楷體" w:hint="eastAsia"/>
          <w:sz w:val="28"/>
          <w:szCs w:val="24"/>
        </w:rPr>
        <w:t>7</w:t>
      </w:r>
      <w:r w:rsidRPr="00327662">
        <w:rPr>
          <w:rFonts w:ascii="標楷體" w:eastAsia="標楷體" w:hAnsi="標楷體" w:hint="eastAsia"/>
          <w:sz w:val="28"/>
          <w:szCs w:val="24"/>
        </w:rPr>
        <w:t>％為最高</w:t>
      </w:r>
      <w:r w:rsidRPr="00327662">
        <w:rPr>
          <w:rFonts w:ascii="標楷體" w:eastAsia="標楷體" w:hAnsi="標楷體"/>
          <w:sz w:val="28"/>
          <w:szCs w:val="24"/>
        </w:rPr>
        <w:t>，演出活動</w:t>
      </w:r>
      <w:proofErr w:type="gramStart"/>
      <w:r w:rsidRPr="00327662">
        <w:rPr>
          <w:rFonts w:ascii="標楷體" w:eastAsia="標楷體" w:hAnsi="標楷體"/>
          <w:sz w:val="28"/>
          <w:szCs w:val="24"/>
        </w:rPr>
        <w:t>佔</w:t>
      </w:r>
      <w:proofErr w:type="gramEnd"/>
      <w:r w:rsidR="00644A04" w:rsidRPr="00327662">
        <w:rPr>
          <w:rFonts w:ascii="標楷體" w:eastAsia="標楷體" w:hAnsi="標楷體" w:hint="eastAsia"/>
          <w:sz w:val="28"/>
          <w:szCs w:val="24"/>
        </w:rPr>
        <w:t>28</w:t>
      </w:r>
      <w:r w:rsidRPr="00327662">
        <w:rPr>
          <w:rFonts w:ascii="標楷體" w:eastAsia="標楷體" w:hAnsi="標楷體"/>
          <w:sz w:val="28"/>
          <w:szCs w:val="24"/>
        </w:rPr>
        <w:t>％次之，教育推廣為</w:t>
      </w:r>
      <w:r w:rsidR="00644A04" w:rsidRPr="00327662">
        <w:rPr>
          <w:rFonts w:ascii="標楷體" w:eastAsia="標楷體" w:hAnsi="標楷體" w:hint="eastAsia"/>
          <w:sz w:val="28"/>
          <w:szCs w:val="24"/>
        </w:rPr>
        <w:t>4</w:t>
      </w:r>
      <w:r w:rsidRPr="00327662">
        <w:rPr>
          <w:rFonts w:ascii="標楷體" w:eastAsia="標楷體" w:hAnsi="標楷體"/>
          <w:sz w:val="28"/>
          <w:szCs w:val="24"/>
        </w:rPr>
        <w:t>％，而場域空間則為</w:t>
      </w:r>
      <w:r w:rsidR="00407670" w:rsidRPr="00327662">
        <w:rPr>
          <w:rFonts w:ascii="標楷體" w:eastAsia="標楷體" w:hAnsi="標楷體"/>
          <w:sz w:val="28"/>
          <w:szCs w:val="24"/>
        </w:rPr>
        <w:t>1</w:t>
      </w:r>
      <w:r w:rsidRPr="00327662">
        <w:rPr>
          <w:rFonts w:ascii="標楷體" w:eastAsia="標楷體" w:hAnsi="標楷體"/>
          <w:sz w:val="28"/>
          <w:szCs w:val="24"/>
        </w:rPr>
        <w:t>％</w:t>
      </w:r>
      <w:r w:rsidR="00407670" w:rsidRPr="00327662">
        <w:rPr>
          <w:rFonts w:ascii="標楷體" w:eastAsia="標楷體" w:hAnsi="標楷體"/>
          <w:sz w:val="28"/>
          <w:szCs w:val="24"/>
        </w:rPr>
        <w:t>，其入場聆賞人次較</w:t>
      </w:r>
      <w:proofErr w:type="gramStart"/>
      <w:r w:rsidR="00644A04" w:rsidRPr="00327662">
        <w:rPr>
          <w:rFonts w:ascii="標楷體" w:eastAsia="標楷體" w:hAnsi="標楷體" w:hint="eastAsia"/>
          <w:sz w:val="28"/>
          <w:szCs w:val="24"/>
        </w:rPr>
        <w:t>110</w:t>
      </w:r>
      <w:proofErr w:type="gramEnd"/>
      <w:r w:rsidR="00407670" w:rsidRPr="00327662">
        <w:rPr>
          <w:rFonts w:ascii="標楷體" w:eastAsia="標楷體" w:hAnsi="標楷體"/>
          <w:sz w:val="28"/>
          <w:szCs w:val="24"/>
        </w:rPr>
        <w:t>年度</w:t>
      </w:r>
      <w:r w:rsidR="00644A04" w:rsidRPr="00327662">
        <w:rPr>
          <w:rFonts w:ascii="標楷體" w:eastAsia="標楷體" w:hAnsi="標楷體" w:hint="eastAsia"/>
          <w:sz w:val="28"/>
          <w:szCs w:val="24"/>
        </w:rPr>
        <w:t>上升</w:t>
      </w:r>
      <w:r w:rsidR="00407670" w:rsidRPr="00327662">
        <w:rPr>
          <w:rFonts w:ascii="標楷體" w:eastAsia="標楷體" w:hAnsi="標楷體"/>
          <w:sz w:val="28"/>
          <w:szCs w:val="24"/>
        </w:rPr>
        <w:t>約</w:t>
      </w:r>
      <w:r w:rsidR="00644A04" w:rsidRPr="00327662">
        <w:rPr>
          <w:rFonts w:ascii="標楷體" w:eastAsia="標楷體" w:hAnsi="標楷體" w:hint="eastAsia"/>
          <w:sz w:val="28"/>
          <w:szCs w:val="24"/>
        </w:rPr>
        <w:t>5.4萬</w:t>
      </w:r>
      <w:r w:rsidR="00407670" w:rsidRPr="00327662">
        <w:rPr>
          <w:rFonts w:ascii="標楷體" w:eastAsia="標楷體" w:hAnsi="標楷體"/>
          <w:sz w:val="28"/>
          <w:szCs w:val="24"/>
        </w:rPr>
        <w:t>人次，主要</w:t>
      </w:r>
      <w:r w:rsidR="00644A04" w:rsidRPr="00327662">
        <w:rPr>
          <w:rFonts w:ascii="標楷體" w:eastAsia="標楷體" w:hAnsi="標楷體" w:hint="eastAsia"/>
          <w:sz w:val="28"/>
          <w:szCs w:val="24"/>
        </w:rPr>
        <w:t>是</w:t>
      </w:r>
      <w:r w:rsidR="00D34EFF" w:rsidRPr="00327662">
        <w:rPr>
          <w:rFonts w:ascii="標楷體" w:eastAsia="標楷體" w:hAnsi="標楷體" w:hint="eastAsia"/>
          <w:sz w:val="28"/>
          <w:szCs w:val="24"/>
        </w:rPr>
        <w:t>因為111年後期</w:t>
      </w:r>
      <w:proofErr w:type="gramStart"/>
      <w:r w:rsidR="00BB53EE" w:rsidRPr="00327662">
        <w:rPr>
          <w:rFonts w:ascii="標楷體" w:eastAsia="標楷體" w:hAnsi="標楷體" w:hint="eastAsia"/>
          <w:sz w:val="28"/>
          <w:szCs w:val="24"/>
        </w:rPr>
        <w:t>疫</w:t>
      </w:r>
      <w:proofErr w:type="gramEnd"/>
      <w:r w:rsidR="00BB53EE" w:rsidRPr="00327662">
        <w:rPr>
          <w:rFonts w:ascii="標楷體" w:eastAsia="標楷體" w:hAnsi="標楷體" w:hint="eastAsia"/>
          <w:sz w:val="28"/>
          <w:szCs w:val="24"/>
        </w:rPr>
        <w:t>情獲得控制，加上</w:t>
      </w:r>
      <w:r w:rsidR="00D34EFF" w:rsidRPr="00327662">
        <w:rPr>
          <w:rFonts w:ascii="標楷體" w:eastAsia="標楷體" w:hAnsi="標楷體" w:hint="eastAsia"/>
          <w:sz w:val="28"/>
          <w:szCs w:val="24"/>
        </w:rPr>
        <w:t>藝術團隊節目回溫，外租節目之多元類型、製作規模及需求等亦有調整，相對帶動外租場次教</w:t>
      </w:r>
      <w:r w:rsidR="00D34EFF" w:rsidRPr="00BB53EE">
        <w:rPr>
          <w:rFonts w:ascii="標楷體" w:eastAsia="標楷體" w:hAnsi="標楷體" w:hint="eastAsia"/>
          <w:sz w:val="28"/>
          <w:szCs w:val="24"/>
        </w:rPr>
        <w:t>育推廣類之活動增加使用。</w:t>
      </w:r>
      <w:r w:rsidRPr="00BB53EE">
        <w:rPr>
          <w:rFonts w:ascii="標楷體" w:eastAsia="標楷體" w:hAnsi="標楷體"/>
          <w:sz w:val="28"/>
          <w:szCs w:val="24"/>
        </w:rPr>
        <w:t>（詳表5及圖</w:t>
      </w:r>
      <w:r w:rsidR="00BE38DF" w:rsidRPr="00BB53EE">
        <w:rPr>
          <w:rFonts w:ascii="標楷體" w:eastAsia="標楷體" w:hAnsi="標楷體"/>
          <w:sz w:val="28"/>
          <w:szCs w:val="24"/>
        </w:rPr>
        <w:t>8</w:t>
      </w:r>
      <w:r w:rsidRPr="00BB53EE">
        <w:rPr>
          <w:rFonts w:ascii="標楷體" w:eastAsia="標楷體" w:hAnsi="標楷體"/>
          <w:sz w:val="28"/>
          <w:szCs w:val="24"/>
        </w:rPr>
        <w:t>）。</w:t>
      </w:r>
    </w:p>
    <w:p w14:paraId="3D1673E1" w14:textId="7031B8FF" w:rsidR="00A96466" w:rsidRPr="006046F8" w:rsidRDefault="006046F8" w:rsidP="006046F8">
      <w:pPr>
        <w:pStyle w:val="a7"/>
        <w:ind w:leftChars="0" w:left="482" w:firstLineChars="200" w:firstLine="480"/>
        <w:jc w:val="both"/>
        <w:rPr>
          <w:rFonts w:ascii="標楷體" w:eastAsia="標楷體" w:hAnsi="標楷體"/>
          <w:sz w:val="28"/>
          <w:szCs w:val="24"/>
        </w:rPr>
      </w:pPr>
      <w:r w:rsidRPr="006046F8">
        <w:rPr>
          <w:rFonts w:hint="eastAsia"/>
          <w:noProof/>
        </w:rPr>
        <w:drawing>
          <wp:anchor distT="0" distB="0" distL="114300" distR="114300" simplePos="0" relativeHeight="251785216" behindDoc="1" locked="0" layoutInCell="1" allowOverlap="1" wp14:anchorId="2D047F5B" wp14:editId="1CE99EBB">
            <wp:simplePos x="0" y="0"/>
            <wp:positionH relativeFrom="column">
              <wp:posOffset>38100</wp:posOffset>
            </wp:positionH>
            <wp:positionV relativeFrom="paragraph">
              <wp:posOffset>411480</wp:posOffset>
            </wp:positionV>
            <wp:extent cx="5575300" cy="1257300"/>
            <wp:effectExtent l="0" t="0" r="635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F4DF6" w14:textId="4BB00BCC" w:rsidR="00A96466" w:rsidRDefault="00A96466" w:rsidP="00A96466">
      <w:pPr>
        <w:jc w:val="center"/>
        <w:rPr>
          <w:rFonts w:ascii="標楷體" w:eastAsia="標楷體" w:hAnsi="標楷體"/>
          <w:sz w:val="28"/>
          <w:szCs w:val="24"/>
        </w:rPr>
      </w:pPr>
      <w:r w:rsidRPr="006836FC">
        <w:rPr>
          <w:rFonts w:ascii="標楷體" w:eastAsia="標楷體" w:hAnsi="標楷體"/>
          <w:sz w:val="28"/>
          <w:szCs w:val="24"/>
        </w:rPr>
        <w:lastRenderedPageBreak/>
        <w:t>圖</w:t>
      </w:r>
      <w:r w:rsidR="00BE38DF">
        <w:rPr>
          <w:rFonts w:ascii="標楷體" w:eastAsia="標楷體" w:hAnsi="標楷體"/>
          <w:sz w:val="28"/>
          <w:szCs w:val="24"/>
        </w:rPr>
        <w:t>8</w:t>
      </w:r>
      <w:r w:rsidRPr="00BB53EE">
        <w:rPr>
          <w:rFonts w:ascii="標楷體" w:eastAsia="標楷體" w:hAnsi="標楷體"/>
          <w:sz w:val="28"/>
          <w:szCs w:val="24"/>
        </w:rPr>
        <w:t>：1</w:t>
      </w:r>
      <w:r w:rsidR="007F01A8" w:rsidRPr="00BB53EE">
        <w:rPr>
          <w:rFonts w:ascii="標楷體" w:eastAsia="標楷體" w:hAnsi="標楷體"/>
          <w:sz w:val="28"/>
          <w:szCs w:val="24"/>
        </w:rPr>
        <w:t>1</w:t>
      </w:r>
      <w:r w:rsidR="000E697A" w:rsidRPr="00BB53EE">
        <w:rPr>
          <w:rFonts w:ascii="標楷體" w:eastAsia="標楷體" w:hAnsi="標楷體" w:hint="eastAsia"/>
          <w:sz w:val="28"/>
          <w:szCs w:val="24"/>
        </w:rPr>
        <w:t>1</w:t>
      </w:r>
      <w:r w:rsidRPr="00BB53EE">
        <w:rPr>
          <w:rFonts w:ascii="標楷體" w:eastAsia="標楷體" w:hAnsi="標楷體"/>
          <w:sz w:val="28"/>
          <w:szCs w:val="24"/>
        </w:rPr>
        <w:t>年各類展演活動入場聆賞人次</w:t>
      </w:r>
      <w:proofErr w:type="gramStart"/>
      <w:r w:rsidRPr="00BB53EE">
        <w:rPr>
          <w:rFonts w:ascii="標楷體" w:eastAsia="標楷體" w:hAnsi="標楷體"/>
          <w:sz w:val="28"/>
          <w:szCs w:val="24"/>
        </w:rPr>
        <w:t>佔</w:t>
      </w:r>
      <w:proofErr w:type="gramEnd"/>
      <w:r w:rsidRPr="00BB53EE">
        <w:rPr>
          <w:rFonts w:ascii="標楷體" w:eastAsia="標楷體" w:hAnsi="標楷體"/>
          <w:sz w:val="28"/>
          <w:szCs w:val="24"/>
        </w:rPr>
        <w:t>比</w:t>
      </w:r>
    </w:p>
    <w:p w14:paraId="0A492DAB" w14:textId="09CE647F" w:rsidR="0021714B" w:rsidRDefault="0021714B" w:rsidP="00A96466">
      <w:pPr>
        <w:jc w:val="center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w:drawing>
          <wp:inline distT="0" distB="0" distL="0" distR="0" wp14:anchorId="3204F891" wp14:editId="379F1F4F">
            <wp:extent cx="5097780" cy="3042285"/>
            <wp:effectExtent l="0" t="0" r="7620" b="5715"/>
            <wp:docPr id="186410072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BB9B5" w14:textId="6E80E1A1" w:rsidR="00644A04" w:rsidRPr="00644A04" w:rsidRDefault="00644A04" w:rsidP="00644A04">
      <w:pPr>
        <w:jc w:val="center"/>
        <w:rPr>
          <w:rFonts w:ascii="標楷體" w:eastAsia="標楷體" w:hAnsi="標楷體"/>
          <w:color w:val="FF0000"/>
          <w:sz w:val="28"/>
          <w:szCs w:val="24"/>
        </w:rPr>
      </w:pPr>
    </w:p>
    <w:p w14:paraId="2C097650" w14:textId="77777777" w:rsidR="00C978CA" w:rsidRDefault="00C978CA" w:rsidP="00C04E0A">
      <w:pPr>
        <w:pStyle w:val="a7"/>
        <w:ind w:leftChars="0" w:left="482" w:firstLineChars="200" w:firstLine="560"/>
        <w:rPr>
          <w:rFonts w:ascii="標楷體" w:eastAsia="標楷體" w:hAnsi="標楷體"/>
          <w:color w:val="FF0000"/>
          <w:sz w:val="28"/>
          <w:szCs w:val="24"/>
        </w:rPr>
      </w:pPr>
    </w:p>
    <w:p w14:paraId="7D132B5A" w14:textId="35931934" w:rsidR="00A96466" w:rsidRPr="00B66856" w:rsidRDefault="00BE38DF" w:rsidP="0096094D">
      <w:pPr>
        <w:pStyle w:val="a7"/>
        <w:ind w:leftChars="0" w:left="482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795833">
        <w:rPr>
          <w:rFonts w:ascii="標楷體" w:eastAsia="標楷體" w:hAnsi="標楷體" w:hint="eastAsia"/>
          <w:sz w:val="28"/>
          <w:szCs w:val="24"/>
        </w:rPr>
        <w:t>就</w:t>
      </w:r>
      <w:proofErr w:type="gramStart"/>
      <w:r w:rsidRPr="00795833">
        <w:rPr>
          <w:rFonts w:ascii="標楷體" w:eastAsia="標楷體" w:hAnsi="標楷體" w:hint="eastAsia"/>
          <w:sz w:val="28"/>
          <w:szCs w:val="24"/>
        </w:rPr>
        <w:t>11</w:t>
      </w:r>
      <w:r w:rsidR="000E697A" w:rsidRPr="00795833">
        <w:rPr>
          <w:rFonts w:ascii="標楷體" w:eastAsia="標楷體" w:hAnsi="標楷體" w:hint="eastAsia"/>
          <w:sz w:val="28"/>
          <w:szCs w:val="24"/>
        </w:rPr>
        <w:t>1</w:t>
      </w:r>
      <w:proofErr w:type="gramEnd"/>
      <w:r w:rsidRPr="00795833">
        <w:rPr>
          <w:rFonts w:ascii="標楷體" w:eastAsia="標楷體" w:hAnsi="標楷體" w:hint="eastAsia"/>
          <w:sz w:val="28"/>
          <w:szCs w:val="24"/>
        </w:rPr>
        <w:t>年度入場聆賞人次性別統計作分析，</w:t>
      </w:r>
      <w:proofErr w:type="gramStart"/>
      <w:r w:rsidRPr="00795833">
        <w:rPr>
          <w:rFonts w:ascii="標楷體" w:eastAsia="標楷體" w:hAnsi="標楷體" w:hint="eastAsia"/>
          <w:sz w:val="28"/>
          <w:szCs w:val="24"/>
        </w:rPr>
        <w:t>11</w:t>
      </w:r>
      <w:r w:rsidR="000E697A" w:rsidRPr="00795833">
        <w:rPr>
          <w:rFonts w:ascii="標楷體" w:eastAsia="標楷體" w:hAnsi="標楷體" w:hint="eastAsia"/>
          <w:sz w:val="28"/>
          <w:szCs w:val="24"/>
        </w:rPr>
        <w:t>1</w:t>
      </w:r>
      <w:proofErr w:type="gramEnd"/>
      <w:r w:rsidRPr="00795833">
        <w:rPr>
          <w:rFonts w:ascii="標楷體" w:eastAsia="標楷體" w:hAnsi="標楷體" w:hint="eastAsia"/>
          <w:sz w:val="28"/>
          <w:szCs w:val="24"/>
        </w:rPr>
        <w:t>年度各類展演活動入場聆賞人次總計</w:t>
      </w:r>
      <w:r w:rsidR="00644A04" w:rsidRPr="00795833">
        <w:rPr>
          <w:rFonts w:ascii="標楷體" w:eastAsia="標楷體" w:hAnsi="標楷體" w:hint="eastAsia"/>
          <w:sz w:val="28"/>
          <w:szCs w:val="24"/>
        </w:rPr>
        <w:t>129</w:t>
      </w:r>
      <w:r w:rsidRPr="00795833">
        <w:rPr>
          <w:rFonts w:ascii="標楷體" w:eastAsia="標楷體" w:hAnsi="標楷體" w:hint="eastAsia"/>
          <w:sz w:val="28"/>
          <w:szCs w:val="24"/>
        </w:rPr>
        <w:t>,</w:t>
      </w:r>
      <w:r w:rsidR="00644A04" w:rsidRPr="00795833">
        <w:rPr>
          <w:rFonts w:ascii="標楷體" w:eastAsia="標楷體" w:hAnsi="標楷體" w:hint="eastAsia"/>
          <w:sz w:val="28"/>
          <w:szCs w:val="24"/>
        </w:rPr>
        <w:t>511</w:t>
      </w:r>
      <w:r w:rsidRPr="00795833">
        <w:rPr>
          <w:rFonts w:ascii="標楷體" w:eastAsia="標楷體" w:hAnsi="標楷體" w:hint="eastAsia"/>
          <w:sz w:val="28"/>
          <w:szCs w:val="24"/>
        </w:rPr>
        <w:t>人次，其</w:t>
      </w:r>
      <w:r w:rsidRPr="00B66856">
        <w:rPr>
          <w:rFonts w:ascii="標楷體" w:eastAsia="標楷體" w:hAnsi="標楷體" w:hint="eastAsia"/>
          <w:sz w:val="28"/>
          <w:szCs w:val="24"/>
        </w:rPr>
        <w:t>中男性約為</w:t>
      </w:r>
      <w:r w:rsidR="00795833" w:rsidRPr="00B66856">
        <w:rPr>
          <w:rFonts w:ascii="標楷體" w:eastAsia="標楷體" w:hAnsi="標楷體" w:hint="eastAsia"/>
          <w:sz w:val="28"/>
          <w:szCs w:val="24"/>
        </w:rPr>
        <w:t>6</w:t>
      </w:r>
      <w:r w:rsidRPr="00B66856">
        <w:rPr>
          <w:rFonts w:ascii="標楷體" w:eastAsia="標楷體" w:hAnsi="標楷體" w:hint="eastAsia"/>
          <w:sz w:val="28"/>
          <w:szCs w:val="24"/>
        </w:rPr>
        <w:t>萬人次，</w:t>
      </w:r>
      <w:proofErr w:type="gramStart"/>
      <w:r w:rsidRPr="00B66856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795833" w:rsidRPr="00B66856">
        <w:rPr>
          <w:rFonts w:ascii="標楷體" w:eastAsia="標楷體" w:hAnsi="標楷體" w:hint="eastAsia"/>
          <w:sz w:val="28"/>
          <w:szCs w:val="24"/>
        </w:rPr>
        <w:t>48</w:t>
      </w:r>
      <w:r w:rsidRPr="00B66856">
        <w:rPr>
          <w:rFonts w:ascii="標楷體" w:eastAsia="標楷體" w:hAnsi="標楷體" w:hint="eastAsia"/>
          <w:sz w:val="28"/>
          <w:szCs w:val="24"/>
        </w:rPr>
        <w:t>％，而女性約為</w:t>
      </w:r>
      <w:r w:rsidR="00795833" w:rsidRPr="00B66856">
        <w:rPr>
          <w:rFonts w:ascii="標楷體" w:eastAsia="標楷體" w:hAnsi="標楷體" w:hint="eastAsia"/>
          <w:sz w:val="28"/>
          <w:szCs w:val="24"/>
        </w:rPr>
        <w:t>6.5</w:t>
      </w:r>
      <w:r w:rsidRPr="00B66856">
        <w:rPr>
          <w:rFonts w:ascii="標楷體" w:eastAsia="標楷體" w:hAnsi="標楷體" w:hint="eastAsia"/>
          <w:sz w:val="28"/>
          <w:szCs w:val="24"/>
        </w:rPr>
        <w:t>萬人次，</w:t>
      </w:r>
      <w:proofErr w:type="gramStart"/>
      <w:r w:rsidRPr="00B66856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795833" w:rsidRPr="00B66856">
        <w:rPr>
          <w:rFonts w:ascii="標楷體" w:eastAsia="標楷體" w:hAnsi="標楷體" w:hint="eastAsia"/>
          <w:sz w:val="28"/>
          <w:szCs w:val="24"/>
        </w:rPr>
        <w:t>52</w:t>
      </w:r>
      <w:r w:rsidRPr="00B66856">
        <w:rPr>
          <w:rFonts w:ascii="標楷體" w:eastAsia="標楷體" w:hAnsi="標楷體" w:hint="eastAsia"/>
          <w:sz w:val="28"/>
          <w:szCs w:val="24"/>
        </w:rPr>
        <w:t>％，</w:t>
      </w:r>
      <w:r w:rsidR="00C04E0A" w:rsidRPr="00B66856">
        <w:rPr>
          <w:rFonts w:ascii="標楷體" w:eastAsia="標楷體" w:hAnsi="標楷體" w:hint="eastAsia"/>
          <w:sz w:val="28"/>
          <w:szCs w:val="24"/>
        </w:rPr>
        <w:t>又以各類展演活動細分，「演出活動」為男性約</w:t>
      </w:r>
      <w:r w:rsidR="00795833" w:rsidRPr="00B66856">
        <w:rPr>
          <w:rFonts w:ascii="標楷體" w:eastAsia="標楷體" w:hAnsi="標楷體" w:hint="eastAsia"/>
          <w:sz w:val="28"/>
          <w:szCs w:val="24"/>
        </w:rPr>
        <w:t>1.7</w:t>
      </w:r>
      <w:r w:rsidR="00C04E0A" w:rsidRPr="00B66856">
        <w:rPr>
          <w:rFonts w:ascii="標楷體" w:eastAsia="標楷體" w:hAnsi="標楷體" w:hint="eastAsia"/>
          <w:sz w:val="28"/>
          <w:szCs w:val="24"/>
        </w:rPr>
        <w:t>萬人次，女性約</w:t>
      </w:r>
      <w:r w:rsidR="00795833" w:rsidRPr="00B66856">
        <w:rPr>
          <w:rFonts w:ascii="標楷體" w:eastAsia="標楷體" w:hAnsi="標楷體" w:hint="eastAsia"/>
          <w:sz w:val="28"/>
          <w:szCs w:val="24"/>
        </w:rPr>
        <w:t>1.8</w:t>
      </w:r>
      <w:r w:rsidR="00C04E0A" w:rsidRPr="00B66856">
        <w:rPr>
          <w:rFonts w:ascii="標楷體" w:eastAsia="標楷體" w:hAnsi="標楷體" w:hint="eastAsia"/>
          <w:sz w:val="28"/>
          <w:szCs w:val="24"/>
        </w:rPr>
        <w:t>萬人次；「藝文展覽」為男性約</w:t>
      </w:r>
      <w:r w:rsidR="00D65DCD" w:rsidRPr="00B66856">
        <w:rPr>
          <w:rFonts w:ascii="標楷體" w:eastAsia="標楷體" w:hAnsi="標楷體" w:hint="eastAsia"/>
          <w:sz w:val="28"/>
          <w:szCs w:val="24"/>
        </w:rPr>
        <w:t>4.1</w:t>
      </w:r>
      <w:r w:rsidR="00C04E0A" w:rsidRPr="00B66856">
        <w:rPr>
          <w:rFonts w:ascii="標楷體" w:eastAsia="標楷體" w:hAnsi="標楷體" w:hint="eastAsia"/>
          <w:sz w:val="28"/>
          <w:szCs w:val="24"/>
        </w:rPr>
        <w:t>萬人次，女性約</w:t>
      </w:r>
      <w:r w:rsidR="00D65DCD" w:rsidRPr="00B66856">
        <w:rPr>
          <w:rFonts w:ascii="標楷體" w:eastAsia="標楷體" w:hAnsi="標楷體" w:hint="eastAsia"/>
          <w:sz w:val="28"/>
          <w:szCs w:val="24"/>
        </w:rPr>
        <w:t>4.4</w:t>
      </w:r>
      <w:r w:rsidR="00C04E0A" w:rsidRPr="00B66856">
        <w:rPr>
          <w:rFonts w:ascii="標楷體" w:eastAsia="標楷體" w:hAnsi="標楷體" w:hint="eastAsia"/>
          <w:sz w:val="28"/>
          <w:szCs w:val="24"/>
        </w:rPr>
        <w:t>萬人次；「教育推廣」為男性約</w:t>
      </w:r>
      <w:r w:rsidR="00D65DCD" w:rsidRPr="00B66856">
        <w:rPr>
          <w:rFonts w:ascii="標楷體" w:eastAsia="標楷體" w:hAnsi="標楷體" w:hint="eastAsia"/>
          <w:sz w:val="28"/>
          <w:szCs w:val="24"/>
        </w:rPr>
        <w:t>2</w:t>
      </w:r>
      <w:r w:rsidR="00C04E0A" w:rsidRPr="00B66856">
        <w:rPr>
          <w:rFonts w:ascii="標楷體" w:eastAsia="標楷體" w:hAnsi="標楷體" w:hint="eastAsia"/>
          <w:sz w:val="28"/>
          <w:szCs w:val="24"/>
        </w:rPr>
        <w:t>,3</w:t>
      </w:r>
      <w:r w:rsidR="00D65DCD" w:rsidRPr="00B66856">
        <w:rPr>
          <w:rFonts w:ascii="標楷體" w:eastAsia="標楷體" w:hAnsi="標楷體" w:hint="eastAsia"/>
          <w:sz w:val="28"/>
          <w:szCs w:val="24"/>
        </w:rPr>
        <w:t>13</w:t>
      </w:r>
      <w:r w:rsidR="00C04E0A" w:rsidRPr="00B66856">
        <w:rPr>
          <w:rFonts w:ascii="標楷體" w:eastAsia="標楷體" w:hAnsi="標楷體" w:hint="eastAsia"/>
          <w:sz w:val="28"/>
          <w:szCs w:val="24"/>
        </w:rPr>
        <w:t>次，女性約</w:t>
      </w:r>
      <w:r w:rsidR="00D65DCD" w:rsidRPr="00B66856">
        <w:rPr>
          <w:rFonts w:ascii="標楷體" w:eastAsia="標楷體" w:hAnsi="標楷體" w:hint="eastAsia"/>
          <w:sz w:val="28"/>
          <w:szCs w:val="24"/>
        </w:rPr>
        <w:t>2</w:t>
      </w:r>
      <w:r w:rsidR="00C04E0A" w:rsidRPr="00B66856">
        <w:rPr>
          <w:rFonts w:ascii="標楷體" w:eastAsia="標楷體" w:hAnsi="標楷體" w:hint="eastAsia"/>
          <w:sz w:val="28"/>
          <w:szCs w:val="24"/>
        </w:rPr>
        <w:t>,</w:t>
      </w:r>
      <w:r w:rsidR="00D65DCD" w:rsidRPr="00B66856">
        <w:rPr>
          <w:rFonts w:ascii="標楷體" w:eastAsia="標楷體" w:hAnsi="標楷體" w:hint="eastAsia"/>
          <w:sz w:val="28"/>
          <w:szCs w:val="24"/>
        </w:rPr>
        <w:t>506</w:t>
      </w:r>
      <w:r w:rsidR="00C04E0A" w:rsidRPr="00B66856">
        <w:rPr>
          <w:rFonts w:ascii="標楷體" w:eastAsia="標楷體" w:hAnsi="標楷體" w:hint="eastAsia"/>
          <w:sz w:val="28"/>
          <w:szCs w:val="24"/>
        </w:rPr>
        <w:t>人次；「場域空間」為男性</w:t>
      </w:r>
      <w:r w:rsidR="00D65DCD" w:rsidRPr="00B66856">
        <w:rPr>
          <w:rFonts w:ascii="標楷體" w:eastAsia="標楷體" w:hAnsi="標楷體" w:hint="eastAsia"/>
          <w:sz w:val="28"/>
          <w:szCs w:val="24"/>
        </w:rPr>
        <w:t>666</w:t>
      </w:r>
      <w:r w:rsidR="00C04E0A" w:rsidRPr="00B66856">
        <w:rPr>
          <w:rFonts w:ascii="標楷體" w:eastAsia="標楷體" w:hAnsi="標楷體" w:hint="eastAsia"/>
          <w:sz w:val="28"/>
          <w:szCs w:val="24"/>
        </w:rPr>
        <w:t>人次，女性為</w:t>
      </w:r>
      <w:r w:rsidR="00D65DCD" w:rsidRPr="00B66856">
        <w:rPr>
          <w:rFonts w:ascii="標楷體" w:eastAsia="標楷體" w:hAnsi="標楷體" w:hint="eastAsia"/>
          <w:sz w:val="28"/>
          <w:szCs w:val="24"/>
        </w:rPr>
        <w:t>722</w:t>
      </w:r>
      <w:r w:rsidR="00C04E0A" w:rsidRPr="00B66856">
        <w:rPr>
          <w:rFonts w:ascii="標楷體" w:eastAsia="標楷體" w:hAnsi="標楷體" w:hint="eastAsia"/>
          <w:sz w:val="28"/>
          <w:szCs w:val="24"/>
        </w:rPr>
        <w:t>人次；呈現男性多於女性的現象</w:t>
      </w:r>
      <w:r w:rsidRPr="00B66856">
        <w:rPr>
          <w:rFonts w:ascii="標楷體" w:eastAsia="標楷體" w:hAnsi="標楷體"/>
          <w:sz w:val="28"/>
          <w:szCs w:val="24"/>
        </w:rPr>
        <w:t>（詳表</w:t>
      </w:r>
      <w:r w:rsidR="00C04E0A" w:rsidRPr="00B66856">
        <w:rPr>
          <w:rFonts w:ascii="標楷體" w:eastAsia="標楷體" w:hAnsi="標楷體"/>
          <w:sz w:val="28"/>
          <w:szCs w:val="24"/>
        </w:rPr>
        <w:t>6</w:t>
      </w:r>
      <w:r w:rsidRPr="00B66856">
        <w:rPr>
          <w:rFonts w:ascii="標楷體" w:eastAsia="標楷體" w:hAnsi="標楷體"/>
          <w:sz w:val="28"/>
          <w:szCs w:val="24"/>
        </w:rPr>
        <w:t>及圖</w:t>
      </w:r>
      <w:r w:rsidR="00C04E0A" w:rsidRPr="00B66856">
        <w:rPr>
          <w:rFonts w:ascii="標楷體" w:eastAsia="標楷體" w:hAnsi="標楷體"/>
          <w:sz w:val="28"/>
          <w:szCs w:val="24"/>
        </w:rPr>
        <w:t>9、10</w:t>
      </w:r>
      <w:r w:rsidRPr="00B66856">
        <w:rPr>
          <w:rFonts w:ascii="標楷體" w:eastAsia="標楷體" w:hAnsi="標楷體"/>
          <w:sz w:val="28"/>
          <w:szCs w:val="24"/>
        </w:rPr>
        <w:t>）。</w:t>
      </w:r>
    </w:p>
    <w:p w14:paraId="688BFCCB" w14:textId="0420D5A3" w:rsidR="00C978CA" w:rsidRPr="00C978CA" w:rsidRDefault="00C978CA" w:rsidP="00C978CA">
      <w:pPr>
        <w:rPr>
          <w:rFonts w:ascii="標楷體" w:eastAsia="標楷體" w:hAnsi="標楷體"/>
          <w:sz w:val="28"/>
          <w:szCs w:val="24"/>
        </w:rPr>
      </w:pPr>
      <w:r w:rsidRPr="00C978CA">
        <w:rPr>
          <w:rFonts w:hint="eastAsia"/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4A93AC86" wp14:editId="4EC8F5C7">
            <wp:simplePos x="0" y="0"/>
            <wp:positionH relativeFrom="column">
              <wp:posOffset>-15240</wp:posOffset>
            </wp:positionH>
            <wp:positionV relativeFrom="paragraph">
              <wp:posOffset>22860</wp:posOffset>
            </wp:positionV>
            <wp:extent cx="5334000" cy="1120140"/>
            <wp:effectExtent l="0" t="0" r="0" b="3810"/>
            <wp:wrapSquare wrapText="bothSides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30EC9" w14:textId="5DAA14A5" w:rsidR="00C04E0A" w:rsidRDefault="00C978CA" w:rsidP="00C04E0A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80096" behindDoc="0" locked="0" layoutInCell="1" allowOverlap="1" wp14:anchorId="6844DF91" wp14:editId="57AE48AC">
            <wp:simplePos x="0" y="0"/>
            <wp:positionH relativeFrom="column">
              <wp:posOffset>91440</wp:posOffset>
            </wp:positionH>
            <wp:positionV relativeFrom="paragraph">
              <wp:posOffset>560070</wp:posOffset>
            </wp:positionV>
            <wp:extent cx="5255260" cy="2689860"/>
            <wp:effectExtent l="0" t="0" r="2540" b="0"/>
            <wp:wrapSquare wrapText="bothSides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68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E0A">
        <w:rPr>
          <w:rFonts w:ascii="標楷體" w:eastAsia="標楷體" w:hAnsi="標楷體" w:hint="eastAsia"/>
          <w:sz w:val="28"/>
          <w:szCs w:val="24"/>
        </w:rPr>
        <w:t>圖9：11</w:t>
      </w:r>
      <w:r>
        <w:rPr>
          <w:rFonts w:ascii="標楷體" w:eastAsia="標楷體" w:hAnsi="標楷體" w:hint="eastAsia"/>
          <w:sz w:val="28"/>
          <w:szCs w:val="24"/>
        </w:rPr>
        <w:t>1</w:t>
      </w:r>
      <w:r w:rsidR="00C04E0A">
        <w:rPr>
          <w:rFonts w:ascii="標楷體" w:eastAsia="標楷體" w:hAnsi="標楷體" w:hint="eastAsia"/>
          <w:sz w:val="28"/>
          <w:szCs w:val="24"/>
        </w:rPr>
        <w:t>年各類展演活動入場聆賞人次性別統計</w:t>
      </w:r>
      <w:proofErr w:type="gramStart"/>
      <w:r w:rsidR="00C04E0A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C04E0A">
        <w:rPr>
          <w:rFonts w:ascii="標楷體" w:eastAsia="標楷體" w:hAnsi="標楷體" w:hint="eastAsia"/>
          <w:sz w:val="28"/>
          <w:szCs w:val="24"/>
        </w:rPr>
        <w:t>比</w:t>
      </w:r>
    </w:p>
    <w:p w14:paraId="500B0EDC" w14:textId="11CE632D" w:rsidR="00C04E0A" w:rsidRDefault="00C04E0A" w:rsidP="00C04E0A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5345DF98" w14:textId="5EA54DFA" w:rsidR="00C04E0A" w:rsidRDefault="00A9036A" w:rsidP="00C04E0A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81120" behindDoc="0" locked="0" layoutInCell="1" allowOverlap="1" wp14:anchorId="05C3641A" wp14:editId="3AC3D28D">
            <wp:simplePos x="0" y="0"/>
            <wp:positionH relativeFrom="column">
              <wp:posOffset>-15240</wp:posOffset>
            </wp:positionH>
            <wp:positionV relativeFrom="paragraph">
              <wp:posOffset>481965</wp:posOffset>
            </wp:positionV>
            <wp:extent cx="5562600" cy="2959100"/>
            <wp:effectExtent l="0" t="0" r="0" b="0"/>
            <wp:wrapSquare wrapText="bothSides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" r="1955"/>
                    <a:stretch/>
                  </pic:blipFill>
                  <pic:spPr bwMode="auto">
                    <a:xfrm>
                      <a:off x="0" y="0"/>
                      <a:ext cx="55626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E0A">
        <w:rPr>
          <w:rFonts w:ascii="標楷體" w:eastAsia="標楷體" w:hAnsi="標楷體" w:hint="eastAsia"/>
          <w:sz w:val="28"/>
          <w:szCs w:val="24"/>
        </w:rPr>
        <w:t>圖10：11</w:t>
      </w:r>
      <w:r w:rsidR="005124E8">
        <w:rPr>
          <w:rFonts w:ascii="標楷體" w:eastAsia="標楷體" w:hAnsi="標楷體" w:hint="eastAsia"/>
          <w:sz w:val="28"/>
          <w:szCs w:val="24"/>
        </w:rPr>
        <w:t>1</w:t>
      </w:r>
      <w:r w:rsidR="00C04E0A">
        <w:rPr>
          <w:rFonts w:ascii="標楷體" w:eastAsia="標楷體" w:hAnsi="標楷體" w:hint="eastAsia"/>
          <w:sz w:val="28"/>
          <w:szCs w:val="24"/>
        </w:rPr>
        <w:t>年各類展演活動入場聆賞人次性別統計</w:t>
      </w:r>
    </w:p>
    <w:p w14:paraId="195465E6" w14:textId="00918DCD" w:rsidR="00DD676C" w:rsidRPr="00BB53EE" w:rsidRDefault="00FB4FDD" w:rsidP="00BB53EE">
      <w:pPr>
        <w:pStyle w:val="a7"/>
        <w:ind w:leftChars="0" w:left="482" w:firstLineChars="232" w:firstLine="557"/>
        <w:jc w:val="both"/>
        <w:rPr>
          <w:rFonts w:ascii="標楷體" w:eastAsia="標楷體" w:hAnsi="標楷體"/>
          <w:sz w:val="28"/>
          <w:szCs w:val="24"/>
        </w:rPr>
      </w:pPr>
      <w:r w:rsidRPr="00C857E3">
        <w:rPr>
          <w:rFonts w:hint="eastAsia"/>
          <w:noProof/>
        </w:rPr>
        <w:lastRenderedPageBreak/>
        <w:drawing>
          <wp:anchor distT="0" distB="0" distL="114300" distR="114300" simplePos="0" relativeHeight="251784192" behindDoc="0" locked="0" layoutInCell="1" allowOverlap="1" wp14:anchorId="59119180" wp14:editId="4EBD3299">
            <wp:simplePos x="0" y="0"/>
            <wp:positionH relativeFrom="column">
              <wp:posOffset>144780</wp:posOffset>
            </wp:positionH>
            <wp:positionV relativeFrom="paragraph">
              <wp:posOffset>2804160</wp:posOffset>
            </wp:positionV>
            <wp:extent cx="5044440" cy="2125980"/>
            <wp:effectExtent l="0" t="0" r="3810" b="7620"/>
            <wp:wrapSquare wrapText="bothSides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14" w:rsidRPr="00BB53EE">
        <w:rPr>
          <w:rFonts w:ascii="標楷體" w:eastAsia="標楷體" w:hAnsi="標楷體" w:hint="eastAsia"/>
          <w:sz w:val="28"/>
          <w:szCs w:val="24"/>
        </w:rPr>
        <w:t>而</w:t>
      </w:r>
      <w:r w:rsidR="00216C7E" w:rsidRPr="00BB53EE">
        <w:rPr>
          <w:rFonts w:ascii="標楷體" w:eastAsia="標楷體" w:hAnsi="標楷體" w:hint="eastAsia"/>
          <w:sz w:val="28"/>
          <w:szCs w:val="24"/>
        </w:rPr>
        <w:t>近五年展演入場方式</w:t>
      </w:r>
      <w:proofErr w:type="gramStart"/>
      <w:r w:rsidR="00FB6B5F" w:rsidRPr="00BB53EE">
        <w:rPr>
          <w:rFonts w:ascii="標楷體" w:eastAsia="標楷體" w:hAnsi="標楷體" w:hint="eastAsia"/>
          <w:sz w:val="28"/>
          <w:szCs w:val="24"/>
        </w:rPr>
        <w:t>（註</w:t>
      </w:r>
      <w:proofErr w:type="gramEnd"/>
      <w:r w:rsidR="00FB6B5F" w:rsidRPr="00BB53EE">
        <w:rPr>
          <w:rFonts w:ascii="標楷體" w:eastAsia="標楷體" w:hAnsi="標楷體" w:hint="eastAsia"/>
          <w:sz w:val="28"/>
          <w:szCs w:val="24"/>
        </w:rPr>
        <w:t>：自</w:t>
      </w:r>
      <w:proofErr w:type="gramStart"/>
      <w:r w:rsidR="00FB6B5F" w:rsidRPr="00BB53EE">
        <w:rPr>
          <w:rFonts w:ascii="標楷體" w:eastAsia="標楷體" w:hAnsi="標楷體" w:hint="eastAsia"/>
          <w:sz w:val="28"/>
          <w:szCs w:val="24"/>
        </w:rPr>
        <w:t>109年度起僅分類</w:t>
      </w:r>
      <w:proofErr w:type="gramEnd"/>
      <w:r w:rsidR="00FB6B5F" w:rsidRPr="00BB53EE">
        <w:rPr>
          <w:rFonts w:ascii="標楷體" w:eastAsia="標楷體" w:hAnsi="標楷體" w:hint="eastAsia"/>
          <w:sz w:val="28"/>
          <w:szCs w:val="24"/>
        </w:rPr>
        <w:t>售票及非售票方式入場</w:t>
      </w:r>
      <w:proofErr w:type="gramStart"/>
      <w:r w:rsidR="00FB6B5F" w:rsidRPr="00BB53EE">
        <w:rPr>
          <w:rFonts w:ascii="標楷體" w:eastAsia="標楷體" w:hAnsi="標楷體" w:hint="eastAsia"/>
          <w:sz w:val="28"/>
          <w:szCs w:val="24"/>
        </w:rPr>
        <w:t>）</w:t>
      </w:r>
      <w:proofErr w:type="gramEnd"/>
      <w:r w:rsidR="00216C7E" w:rsidRPr="00BB53EE">
        <w:rPr>
          <w:rFonts w:ascii="標楷體" w:eastAsia="標楷體" w:hAnsi="標楷體" w:hint="eastAsia"/>
          <w:sz w:val="28"/>
          <w:szCs w:val="24"/>
        </w:rPr>
        <w:t>，</w:t>
      </w:r>
      <w:r w:rsidR="00FB6B5F" w:rsidRPr="00BB53EE">
        <w:rPr>
          <w:rFonts w:ascii="標楷體" w:eastAsia="標楷體" w:hAnsi="標楷體" w:hint="eastAsia"/>
          <w:sz w:val="28"/>
          <w:szCs w:val="24"/>
        </w:rPr>
        <w:t>每年平均舉辦</w:t>
      </w:r>
      <w:r w:rsidR="00352733" w:rsidRPr="00BB53EE">
        <w:rPr>
          <w:rFonts w:ascii="標楷體" w:eastAsia="標楷體" w:hAnsi="標楷體" w:hint="eastAsia"/>
          <w:sz w:val="28"/>
          <w:szCs w:val="24"/>
        </w:rPr>
        <w:t>233</w:t>
      </w:r>
      <w:r w:rsidR="00FB6B5F" w:rsidRPr="00BB53EE">
        <w:rPr>
          <w:rFonts w:ascii="標楷體" w:eastAsia="標楷體" w:hAnsi="標楷體" w:hint="eastAsia"/>
          <w:sz w:val="28"/>
          <w:szCs w:val="24"/>
        </w:rPr>
        <w:t>場次，</w:t>
      </w:r>
      <w:proofErr w:type="gramStart"/>
      <w:r w:rsidR="00FB6B5F" w:rsidRPr="00BB53EE">
        <w:rPr>
          <w:rFonts w:ascii="標楷體" w:eastAsia="標楷體" w:hAnsi="標楷體" w:hint="eastAsia"/>
          <w:sz w:val="28"/>
          <w:szCs w:val="24"/>
        </w:rPr>
        <w:t>1</w:t>
      </w:r>
      <w:r w:rsidR="00CE2E16" w:rsidRPr="00BB53EE">
        <w:rPr>
          <w:rFonts w:ascii="標楷體" w:eastAsia="標楷體" w:hAnsi="標楷體" w:hint="eastAsia"/>
          <w:sz w:val="28"/>
          <w:szCs w:val="24"/>
        </w:rPr>
        <w:t>1</w:t>
      </w:r>
      <w:r w:rsidR="00352733" w:rsidRPr="00BB53EE">
        <w:rPr>
          <w:rFonts w:ascii="標楷體" w:eastAsia="標楷體" w:hAnsi="標楷體" w:hint="eastAsia"/>
          <w:sz w:val="28"/>
          <w:szCs w:val="24"/>
        </w:rPr>
        <w:t>1</w:t>
      </w:r>
      <w:proofErr w:type="gramEnd"/>
      <w:r w:rsidR="00FB6B5F" w:rsidRPr="00BB53EE">
        <w:rPr>
          <w:rFonts w:ascii="標楷體" w:eastAsia="標楷體" w:hAnsi="標楷體" w:hint="eastAsia"/>
          <w:sz w:val="28"/>
          <w:szCs w:val="24"/>
        </w:rPr>
        <w:t>年度舉辦總場次上升至</w:t>
      </w:r>
      <w:r w:rsidR="00352733" w:rsidRPr="00BB53EE">
        <w:rPr>
          <w:rFonts w:ascii="標楷體" w:eastAsia="標楷體" w:hAnsi="標楷體" w:hint="eastAsia"/>
          <w:sz w:val="28"/>
          <w:szCs w:val="24"/>
        </w:rPr>
        <w:t>351</w:t>
      </w:r>
      <w:r w:rsidR="00FB6B5F" w:rsidRPr="00BB53EE">
        <w:rPr>
          <w:rFonts w:ascii="標楷體" w:eastAsia="標楷體" w:hAnsi="標楷體" w:hint="eastAsia"/>
          <w:sz w:val="28"/>
          <w:szCs w:val="24"/>
        </w:rPr>
        <w:t>場，</w:t>
      </w:r>
      <w:r w:rsidR="00CE2E16" w:rsidRPr="00BB53EE">
        <w:rPr>
          <w:rFonts w:ascii="標楷體" w:eastAsia="標楷體" w:hAnsi="標楷體" w:hint="eastAsia"/>
          <w:sz w:val="28"/>
          <w:szCs w:val="24"/>
        </w:rPr>
        <w:t>自109年起</w:t>
      </w:r>
      <w:r w:rsidR="00BB53EE" w:rsidRPr="00B66856">
        <w:rPr>
          <w:rFonts w:ascii="標楷體" w:eastAsia="標楷體" w:hAnsi="標楷體" w:hint="eastAsia"/>
          <w:sz w:val="28"/>
          <w:szCs w:val="24"/>
        </w:rPr>
        <w:t>主辦場次以售票方式辦理</w:t>
      </w:r>
      <w:r w:rsidR="00FB6B5F" w:rsidRPr="00B66856">
        <w:rPr>
          <w:rFonts w:ascii="標楷體" w:eastAsia="標楷體" w:hAnsi="標楷體" w:hint="eastAsia"/>
          <w:sz w:val="28"/>
          <w:szCs w:val="24"/>
        </w:rPr>
        <w:t>，</w:t>
      </w:r>
      <w:r w:rsidR="00BB53EE" w:rsidRPr="00B66856">
        <w:rPr>
          <w:rFonts w:ascii="標楷體" w:eastAsia="標楷體" w:hAnsi="標楷體" w:hint="eastAsia"/>
          <w:sz w:val="28"/>
          <w:szCs w:val="24"/>
        </w:rPr>
        <w:t>外租則依其需求</w:t>
      </w:r>
      <w:proofErr w:type="gramStart"/>
      <w:r w:rsidR="00BB53EE" w:rsidRPr="00B66856">
        <w:rPr>
          <w:rFonts w:ascii="標楷體" w:eastAsia="標楷體" w:hAnsi="標楷體" w:hint="eastAsia"/>
          <w:sz w:val="28"/>
          <w:szCs w:val="24"/>
        </w:rPr>
        <w:t>採</w:t>
      </w:r>
      <w:proofErr w:type="gramEnd"/>
      <w:r w:rsidR="00BB53EE" w:rsidRPr="00B66856">
        <w:rPr>
          <w:rFonts w:ascii="標楷體" w:eastAsia="標楷體" w:hAnsi="標楷體" w:hint="eastAsia"/>
          <w:sz w:val="28"/>
          <w:szCs w:val="24"/>
        </w:rPr>
        <w:t>售票或</w:t>
      </w:r>
      <w:r w:rsidR="00857D75" w:rsidRPr="00B66856">
        <w:rPr>
          <w:rFonts w:ascii="標楷體" w:eastAsia="標楷體" w:hAnsi="標楷體" w:hint="eastAsia"/>
          <w:sz w:val="28"/>
          <w:szCs w:val="24"/>
        </w:rPr>
        <w:t>非</w:t>
      </w:r>
      <w:r w:rsidR="00857D75" w:rsidRPr="00327662">
        <w:rPr>
          <w:rFonts w:ascii="標楷體" w:eastAsia="標楷體" w:hAnsi="標楷體" w:hint="eastAsia"/>
          <w:sz w:val="28"/>
          <w:szCs w:val="24"/>
        </w:rPr>
        <w:t>售票方式辦理，</w:t>
      </w:r>
      <w:r w:rsidR="00BB53EE" w:rsidRPr="00327662">
        <w:rPr>
          <w:rFonts w:ascii="標楷體" w:eastAsia="標楷體" w:hAnsi="標楷體" w:hint="eastAsia"/>
          <w:sz w:val="28"/>
          <w:szCs w:val="24"/>
        </w:rPr>
        <w:t>索票、管制入場及自由入場等非售票入場方式，</w:t>
      </w:r>
      <w:r w:rsidR="00B54950" w:rsidRPr="00327662">
        <w:rPr>
          <w:rFonts w:ascii="標楷體" w:eastAsia="標楷體" w:hAnsi="標楷體" w:hint="eastAsia"/>
          <w:sz w:val="28"/>
          <w:szCs w:val="24"/>
        </w:rPr>
        <w:t>每年舉辦</w:t>
      </w:r>
      <w:r w:rsidR="0021714B" w:rsidRPr="00327662">
        <w:rPr>
          <w:rFonts w:ascii="標楷體" w:eastAsia="標楷體" w:hAnsi="標楷體" w:hint="eastAsia"/>
          <w:sz w:val="28"/>
          <w:szCs w:val="24"/>
        </w:rPr>
        <w:t>非售票</w:t>
      </w:r>
      <w:r w:rsidR="00B54950" w:rsidRPr="00327662">
        <w:rPr>
          <w:rFonts w:ascii="標楷體" w:eastAsia="標楷體" w:hAnsi="標楷體" w:hint="eastAsia"/>
          <w:sz w:val="28"/>
          <w:szCs w:val="24"/>
        </w:rPr>
        <w:t>場次平均</w:t>
      </w:r>
      <w:r w:rsidR="004B14A4" w:rsidRPr="00327662">
        <w:rPr>
          <w:rFonts w:ascii="標楷體" w:eastAsia="標楷體" w:hAnsi="標楷體" w:hint="eastAsia"/>
          <w:sz w:val="28"/>
          <w:szCs w:val="24"/>
        </w:rPr>
        <w:t>178</w:t>
      </w:r>
      <w:r w:rsidR="00FB6B5F" w:rsidRPr="00327662">
        <w:rPr>
          <w:rFonts w:ascii="標楷體" w:eastAsia="標楷體" w:hAnsi="標楷體" w:hint="eastAsia"/>
          <w:sz w:val="28"/>
          <w:szCs w:val="24"/>
        </w:rPr>
        <w:t>場次（詳表</w:t>
      </w:r>
      <w:r w:rsidR="00CE2E16" w:rsidRPr="00327662">
        <w:rPr>
          <w:rFonts w:ascii="標楷體" w:eastAsia="標楷體" w:hAnsi="標楷體" w:hint="eastAsia"/>
          <w:sz w:val="28"/>
          <w:szCs w:val="24"/>
        </w:rPr>
        <w:t>7</w:t>
      </w:r>
      <w:r w:rsidR="00DD676C" w:rsidRPr="00BB53EE">
        <w:rPr>
          <w:rFonts w:ascii="標楷體" w:eastAsia="標楷體" w:hAnsi="標楷體" w:hint="eastAsia"/>
          <w:sz w:val="28"/>
          <w:szCs w:val="24"/>
        </w:rPr>
        <w:t>及圖</w:t>
      </w:r>
      <w:r w:rsidR="00CE2E16" w:rsidRPr="00BB53EE">
        <w:rPr>
          <w:rFonts w:ascii="標楷體" w:eastAsia="標楷體" w:hAnsi="標楷體" w:hint="eastAsia"/>
          <w:sz w:val="28"/>
          <w:szCs w:val="24"/>
        </w:rPr>
        <w:t>11</w:t>
      </w:r>
      <w:r w:rsidR="00FB6B5F" w:rsidRPr="00BB53EE">
        <w:rPr>
          <w:rFonts w:ascii="標楷體" w:eastAsia="標楷體" w:hAnsi="標楷體" w:hint="eastAsia"/>
          <w:sz w:val="28"/>
          <w:szCs w:val="24"/>
        </w:rPr>
        <w:t>）</w:t>
      </w:r>
      <w:r w:rsidR="00DD676C" w:rsidRPr="00BB53EE">
        <w:rPr>
          <w:rFonts w:ascii="標楷體" w:eastAsia="標楷體" w:hAnsi="標楷體" w:hint="eastAsia"/>
          <w:sz w:val="28"/>
          <w:szCs w:val="24"/>
        </w:rPr>
        <w:t>。</w:t>
      </w:r>
    </w:p>
    <w:p w14:paraId="224246AD" w14:textId="77777777" w:rsidR="00FB4FDD" w:rsidRDefault="00FB4FDD" w:rsidP="00FB4FDD">
      <w:pPr>
        <w:pStyle w:val="a7"/>
        <w:ind w:leftChars="0" w:left="482" w:firstLineChars="300" w:firstLine="840"/>
        <w:rPr>
          <w:rFonts w:ascii="標楷體" w:eastAsia="標楷體" w:hAnsi="標楷體"/>
          <w:sz w:val="28"/>
          <w:szCs w:val="24"/>
        </w:rPr>
      </w:pPr>
    </w:p>
    <w:p w14:paraId="381394A8" w14:textId="60B531BF" w:rsidR="00C857E3" w:rsidRDefault="000D6D1A" w:rsidP="00FB4FDD">
      <w:pPr>
        <w:pStyle w:val="a7"/>
        <w:ind w:leftChars="-200" w:left="2" w:hangingChars="172" w:hanging="482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83168" behindDoc="1" locked="0" layoutInCell="1" allowOverlap="1" wp14:anchorId="7C3F9244" wp14:editId="1576077F">
            <wp:simplePos x="0" y="0"/>
            <wp:positionH relativeFrom="column">
              <wp:posOffset>146685</wp:posOffset>
            </wp:positionH>
            <wp:positionV relativeFrom="paragraph">
              <wp:posOffset>563245</wp:posOffset>
            </wp:positionV>
            <wp:extent cx="5059680" cy="2874010"/>
            <wp:effectExtent l="0" t="0" r="7620" b="2540"/>
            <wp:wrapTight wrapText="bothSides">
              <wp:wrapPolygon edited="0">
                <wp:start x="0" y="0"/>
                <wp:lineTo x="0" y="21476"/>
                <wp:lineTo x="21551" y="21476"/>
                <wp:lineTo x="21551" y="0"/>
                <wp:lineTo x="0" y="0"/>
              </wp:wrapPolygon>
            </wp:wrapTight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287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76C" w:rsidRPr="006836FC">
        <w:rPr>
          <w:rFonts w:ascii="標楷體" w:eastAsia="標楷體" w:hAnsi="標楷體"/>
          <w:sz w:val="28"/>
          <w:szCs w:val="24"/>
        </w:rPr>
        <w:t>圖</w:t>
      </w:r>
      <w:r w:rsidR="00CE2E16">
        <w:rPr>
          <w:rFonts w:ascii="標楷體" w:eastAsia="標楷體" w:hAnsi="標楷體" w:hint="eastAsia"/>
          <w:sz w:val="28"/>
          <w:szCs w:val="24"/>
        </w:rPr>
        <w:t>11</w:t>
      </w:r>
      <w:r w:rsidR="00DD676C" w:rsidRPr="006836FC">
        <w:rPr>
          <w:rFonts w:ascii="標楷體" w:eastAsia="標楷體" w:hAnsi="標楷體"/>
          <w:sz w:val="28"/>
          <w:szCs w:val="24"/>
        </w:rPr>
        <w:t>：</w:t>
      </w:r>
      <w:r w:rsidR="00DD676C">
        <w:rPr>
          <w:rFonts w:ascii="標楷體" w:eastAsia="標楷體" w:hAnsi="標楷體"/>
          <w:sz w:val="28"/>
          <w:szCs w:val="24"/>
        </w:rPr>
        <w:t>10</w:t>
      </w:r>
      <w:r w:rsidR="00352733">
        <w:rPr>
          <w:rFonts w:ascii="標楷體" w:eastAsia="標楷體" w:hAnsi="標楷體" w:hint="eastAsia"/>
          <w:sz w:val="28"/>
          <w:szCs w:val="24"/>
        </w:rPr>
        <w:t>7</w:t>
      </w:r>
      <w:r w:rsidR="00DD676C">
        <w:rPr>
          <w:rFonts w:ascii="標楷體" w:eastAsia="標楷體" w:hAnsi="標楷體"/>
          <w:sz w:val="28"/>
          <w:szCs w:val="24"/>
        </w:rPr>
        <w:t>-1</w:t>
      </w:r>
      <w:r w:rsidR="007F01A8">
        <w:rPr>
          <w:rFonts w:ascii="標楷體" w:eastAsia="標楷體" w:hAnsi="標楷體"/>
          <w:sz w:val="28"/>
          <w:szCs w:val="24"/>
        </w:rPr>
        <w:t>1</w:t>
      </w:r>
      <w:r w:rsidR="00352733">
        <w:rPr>
          <w:rFonts w:ascii="標楷體" w:eastAsia="標楷體" w:hAnsi="標楷體" w:hint="eastAsia"/>
          <w:sz w:val="28"/>
          <w:szCs w:val="24"/>
        </w:rPr>
        <w:t>1</w:t>
      </w:r>
      <w:r w:rsidR="00DD676C">
        <w:rPr>
          <w:rFonts w:ascii="標楷體" w:eastAsia="標楷體" w:hAnsi="標楷體"/>
          <w:sz w:val="28"/>
          <w:szCs w:val="24"/>
        </w:rPr>
        <w:t>年展演入場方式</w:t>
      </w:r>
    </w:p>
    <w:p w14:paraId="7E6E4973" w14:textId="1EF7EC7B" w:rsidR="00BE2919" w:rsidRPr="00327662" w:rsidRDefault="004D1014" w:rsidP="00D60C9F">
      <w:pPr>
        <w:pStyle w:val="a7"/>
        <w:ind w:leftChars="0" w:left="482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903DC1">
        <w:rPr>
          <w:rFonts w:ascii="標楷體" w:eastAsia="標楷體" w:hAnsi="標楷體" w:hint="eastAsia"/>
          <w:sz w:val="28"/>
          <w:szCs w:val="24"/>
        </w:rPr>
        <w:lastRenderedPageBreak/>
        <w:t>10</w:t>
      </w:r>
      <w:r w:rsidR="00352733" w:rsidRPr="00903DC1">
        <w:rPr>
          <w:rFonts w:ascii="標楷體" w:eastAsia="標楷體" w:hAnsi="標楷體" w:hint="eastAsia"/>
          <w:sz w:val="28"/>
          <w:szCs w:val="24"/>
        </w:rPr>
        <w:t>7</w:t>
      </w:r>
      <w:r w:rsidRPr="00903DC1">
        <w:rPr>
          <w:rFonts w:ascii="標楷體" w:eastAsia="標楷體" w:hAnsi="標楷體" w:hint="eastAsia"/>
          <w:sz w:val="28"/>
          <w:szCs w:val="24"/>
        </w:rPr>
        <w:t>年至108年，</w:t>
      </w:r>
      <w:r w:rsidR="00546ECA" w:rsidRPr="00903DC1">
        <w:rPr>
          <w:rFonts w:ascii="標楷體" w:eastAsia="標楷體" w:hAnsi="標楷體" w:hint="eastAsia"/>
          <w:sz w:val="28"/>
          <w:szCs w:val="24"/>
        </w:rPr>
        <w:t>其中售票進場</w:t>
      </w:r>
      <w:r w:rsidR="00ED00F1" w:rsidRPr="00903DC1">
        <w:rPr>
          <w:rFonts w:ascii="標楷體" w:eastAsia="標楷體" w:hAnsi="標楷體" w:hint="eastAsia"/>
          <w:sz w:val="28"/>
          <w:szCs w:val="24"/>
        </w:rPr>
        <w:t>比</w:t>
      </w:r>
      <w:proofErr w:type="gramStart"/>
      <w:r w:rsidR="00820052" w:rsidRPr="00903DC1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5A6A0D" w:rsidRPr="00903DC1">
        <w:rPr>
          <w:rFonts w:ascii="標楷體" w:eastAsia="標楷體" w:hAnsi="標楷體" w:hint="eastAsia"/>
          <w:sz w:val="28"/>
          <w:szCs w:val="24"/>
        </w:rPr>
        <w:t>39</w:t>
      </w:r>
      <w:r w:rsidR="00DD676C" w:rsidRPr="00903DC1">
        <w:rPr>
          <w:rFonts w:ascii="標楷體" w:eastAsia="標楷體" w:hAnsi="標楷體" w:hint="eastAsia"/>
          <w:sz w:val="28"/>
          <w:szCs w:val="24"/>
        </w:rPr>
        <w:t>％</w:t>
      </w:r>
      <w:r w:rsidR="00ED00F1" w:rsidRPr="00903DC1">
        <w:rPr>
          <w:rFonts w:ascii="標楷體" w:eastAsia="標楷體" w:hAnsi="標楷體" w:hint="eastAsia"/>
          <w:sz w:val="28"/>
          <w:szCs w:val="24"/>
        </w:rPr>
        <w:t>為最高</w:t>
      </w:r>
      <w:r w:rsidR="00546ECA" w:rsidRPr="00903DC1">
        <w:rPr>
          <w:rFonts w:ascii="標楷體" w:eastAsia="標楷體" w:hAnsi="標楷體" w:hint="eastAsia"/>
          <w:sz w:val="28"/>
          <w:szCs w:val="24"/>
        </w:rPr>
        <w:t>、管制入場</w:t>
      </w:r>
      <w:proofErr w:type="gramStart"/>
      <w:r w:rsidR="00ED00F1" w:rsidRPr="00903DC1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5A6A0D" w:rsidRPr="00903DC1">
        <w:rPr>
          <w:rFonts w:ascii="標楷體" w:eastAsia="標楷體" w:hAnsi="標楷體" w:hint="eastAsia"/>
          <w:sz w:val="28"/>
          <w:szCs w:val="24"/>
        </w:rPr>
        <w:t>30</w:t>
      </w:r>
      <w:r w:rsidR="00ED00F1" w:rsidRPr="00903DC1">
        <w:rPr>
          <w:rFonts w:ascii="標楷體" w:eastAsia="標楷體" w:hAnsi="標楷體" w:hint="eastAsia"/>
          <w:sz w:val="28"/>
          <w:szCs w:val="24"/>
        </w:rPr>
        <w:t>％次之，索票方式入場為17％，而自由入場則為1</w:t>
      </w:r>
      <w:r w:rsidR="005A6A0D" w:rsidRPr="00903DC1">
        <w:rPr>
          <w:rFonts w:ascii="標楷體" w:eastAsia="標楷體" w:hAnsi="標楷體" w:hint="eastAsia"/>
          <w:sz w:val="28"/>
          <w:szCs w:val="24"/>
        </w:rPr>
        <w:t>4</w:t>
      </w:r>
      <w:r w:rsidR="00ED00F1" w:rsidRPr="00903DC1">
        <w:rPr>
          <w:rFonts w:ascii="標楷體" w:eastAsia="標楷體" w:hAnsi="標楷體" w:hint="eastAsia"/>
          <w:sz w:val="28"/>
          <w:szCs w:val="24"/>
        </w:rPr>
        <w:t>％</w:t>
      </w:r>
      <w:r w:rsidRPr="00903DC1">
        <w:rPr>
          <w:rFonts w:ascii="標楷體" w:eastAsia="標楷體" w:hAnsi="標楷體" w:hint="eastAsia"/>
          <w:sz w:val="28"/>
          <w:szCs w:val="24"/>
        </w:rPr>
        <w:t>（詳圖</w:t>
      </w:r>
      <w:r w:rsidR="00CE2E16" w:rsidRPr="00903DC1">
        <w:rPr>
          <w:rFonts w:ascii="標楷體" w:eastAsia="標楷體" w:hAnsi="標楷體" w:hint="eastAsia"/>
          <w:sz w:val="28"/>
          <w:szCs w:val="24"/>
        </w:rPr>
        <w:t>12</w:t>
      </w:r>
      <w:r w:rsidRPr="00903DC1">
        <w:rPr>
          <w:rFonts w:ascii="標楷體" w:eastAsia="標楷體" w:hAnsi="標楷體" w:hint="eastAsia"/>
          <w:sz w:val="28"/>
          <w:szCs w:val="24"/>
        </w:rPr>
        <w:t>）</w:t>
      </w:r>
      <w:r w:rsidR="00ED00F1" w:rsidRPr="00903DC1">
        <w:rPr>
          <w:rFonts w:ascii="標楷體" w:eastAsia="標楷體" w:hAnsi="標楷體" w:hint="eastAsia"/>
          <w:sz w:val="28"/>
          <w:szCs w:val="24"/>
        </w:rPr>
        <w:t>；而自109年起「</w:t>
      </w:r>
      <w:proofErr w:type="gramStart"/>
      <w:r w:rsidR="00ED00F1" w:rsidRPr="00903DC1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="00ED00F1" w:rsidRPr="00903DC1">
        <w:rPr>
          <w:rFonts w:ascii="標楷體" w:eastAsia="標楷體" w:hAnsi="標楷體" w:hint="eastAsia"/>
          <w:sz w:val="28"/>
          <w:szCs w:val="24"/>
        </w:rPr>
        <w:t>中心」轉型為「行政法人」後，舉辦活動入場方式之統計資料做調整</w:t>
      </w:r>
      <w:r w:rsidR="00ED00F1" w:rsidRPr="00E366DD">
        <w:rPr>
          <w:rFonts w:ascii="標楷體" w:eastAsia="標楷體" w:hAnsi="標楷體" w:hint="eastAsia"/>
          <w:sz w:val="28"/>
          <w:szCs w:val="24"/>
        </w:rPr>
        <w:t>，</w:t>
      </w:r>
      <w:r w:rsidR="00CE2E16" w:rsidRPr="00E366DD">
        <w:rPr>
          <w:rFonts w:ascii="標楷體" w:eastAsia="標楷體" w:hAnsi="標楷體" w:hint="eastAsia"/>
          <w:sz w:val="28"/>
          <w:szCs w:val="24"/>
        </w:rPr>
        <w:t>109</w:t>
      </w:r>
      <w:r w:rsidR="005A6A0D" w:rsidRPr="00E366DD">
        <w:rPr>
          <w:rFonts w:ascii="標楷體" w:eastAsia="標楷體" w:hAnsi="標楷體" w:hint="eastAsia"/>
          <w:sz w:val="28"/>
          <w:szCs w:val="24"/>
        </w:rPr>
        <w:t>至</w:t>
      </w:r>
      <w:r w:rsidR="00CE2E16" w:rsidRPr="00E366DD">
        <w:rPr>
          <w:rFonts w:ascii="標楷體" w:eastAsia="標楷體" w:hAnsi="標楷體" w:hint="eastAsia"/>
          <w:sz w:val="28"/>
          <w:szCs w:val="24"/>
        </w:rPr>
        <w:t>11</w:t>
      </w:r>
      <w:r w:rsidR="005A6A0D" w:rsidRPr="00E366DD">
        <w:rPr>
          <w:rFonts w:ascii="標楷體" w:eastAsia="標楷體" w:hAnsi="標楷體" w:hint="eastAsia"/>
          <w:sz w:val="28"/>
          <w:szCs w:val="24"/>
        </w:rPr>
        <w:t>1</w:t>
      </w:r>
      <w:r w:rsidR="00CE2E16" w:rsidRPr="00E366DD">
        <w:rPr>
          <w:rFonts w:ascii="標楷體" w:eastAsia="標楷體" w:hAnsi="標楷體" w:hint="eastAsia"/>
          <w:sz w:val="28"/>
          <w:szCs w:val="24"/>
        </w:rPr>
        <w:t>年</w:t>
      </w:r>
      <w:r w:rsidR="00820052" w:rsidRPr="00E366DD">
        <w:rPr>
          <w:rFonts w:ascii="標楷體" w:eastAsia="標楷體" w:hAnsi="標楷體" w:hint="eastAsia"/>
          <w:sz w:val="28"/>
          <w:szCs w:val="24"/>
        </w:rPr>
        <w:t>售票</w:t>
      </w:r>
      <w:r w:rsidR="00903DC1" w:rsidRPr="00E366DD">
        <w:rPr>
          <w:rFonts w:ascii="標楷體" w:eastAsia="標楷體" w:hAnsi="標楷體" w:hint="eastAsia"/>
          <w:sz w:val="28"/>
          <w:szCs w:val="24"/>
        </w:rPr>
        <w:t>入場</w:t>
      </w:r>
      <w:proofErr w:type="gramStart"/>
      <w:r w:rsidR="00BA5E4A" w:rsidRPr="00E366DD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BA5E4A" w:rsidRPr="00E366DD">
        <w:rPr>
          <w:rFonts w:ascii="標楷體" w:eastAsia="標楷體" w:hAnsi="標楷體" w:hint="eastAsia"/>
          <w:sz w:val="28"/>
          <w:szCs w:val="24"/>
        </w:rPr>
        <w:t>35%，其餘索票、管制入場</w:t>
      </w:r>
      <w:r w:rsidR="00D60C9F" w:rsidRPr="00E366DD">
        <w:rPr>
          <w:rFonts w:ascii="標楷體" w:eastAsia="標楷體" w:hAnsi="標楷體" w:hint="eastAsia"/>
          <w:sz w:val="28"/>
          <w:szCs w:val="24"/>
        </w:rPr>
        <w:t>及自</w:t>
      </w:r>
      <w:r w:rsidR="00D60C9F" w:rsidRPr="00327662">
        <w:rPr>
          <w:rFonts w:ascii="標楷體" w:eastAsia="標楷體" w:hAnsi="標楷體" w:hint="eastAsia"/>
          <w:sz w:val="28"/>
          <w:szCs w:val="24"/>
        </w:rPr>
        <w:t>由入場等</w:t>
      </w:r>
      <w:r w:rsidR="00FB4FDD" w:rsidRPr="00327662">
        <w:rPr>
          <w:rFonts w:ascii="標楷體" w:eastAsia="標楷體" w:hAnsi="標楷體" w:hint="eastAsia"/>
          <w:sz w:val="28"/>
          <w:szCs w:val="24"/>
        </w:rPr>
        <w:t>非售票</w:t>
      </w:r>
      <w:r w:rsidR="00D60C9F" w:rsidRPr="00327662">
        <w:rPr>
          <w:rFonts w:ascii="標楷體" w:eastAsia="標楷體" w:hAnsi="標楷體" w:hint="eastAsia"/>
          <w:sz w:val="28"/>
          <w:szCs w:val="24"/>
        </w:rPr>
        <w:t>入場方式</w:t>
      </w:r>
      <w:r w:rsidR="00150A43" w:rsidRPr="00327662">
        <w:rPr>
          <w:rFonts w:ascii="標楷體" w:eastAsia="標楷體" w:hAnsi="標楷體" w:hint="eastAsia"/>
          <w:sz w:val="28"/>
          <w:szCs w:val="24"/>
        </w:rPr>
        <w:t>等</w:t>
      </w:r>
      <w:proofErr w:type="gramStart"/>
      <w:r w:rsidR="00820052" w:rsidRPr="00327662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CE2E16" w:rsidRPr="00327662">
        <w:rPr>
          <w:rFonts w:ascii="標楷體" w:eastAsia="標楷體" w:hAnsi="標楷體" w:hint="eastAsia"/>
          <w:sz w:val="28"/>
          <w:szCs w:val="24"/>
        </w:rPr>
        <w:t>6</w:t>
      </w:r>
      <w:r w:rsidR="000C1084" w:rsidRPr="00327662">
        <w:rPr>
          <w:rFonts w:ascii="標楷體" w:eastAsia="標楷體" w:hAnsi="標楷體" w:hint="eastAsia"/>
          <w:sz w:val="28"/>
          <w:szCs w:val="24"/>
        </w:rPr>
        <w:t>5</w:t>
      </w:r>
      <w:r w:rsidR="00A96466" w:rsidRPr="00327662">
        <w:rPr>
          <w:rFonts w:ascii="標楷體" w:eastAsia="標楷體" w:hAnsi="標楷體" w:hint="eastAsia"/>
          <w:sz w:val="28"/>
          <w:szCs w:val="24"/>
        </w:rPr>
        <w:t>％</w:t>
      </w:r>
      <w:r w:rsidRPr="00327662">
        <w:rPr>
          <w:rFonts w:ascii="標楷體" w:eastAsia="標楷體" w:hAnsi="標楷體" w:hint="eastAsia"/>
          <w:sz w:val="28"/>
          <w:szCs w:val="24"/>
        </w:rPr>
        <w:t>（詳圖</w:t>
      </w:r>
      <w:r w:rsidR="00A96466" w:rsidRPr="00327662">
        <w:rPr>
          <w:rFonts w:ascii="標楷體" w:eastAsia="標楷體" w:hAnsi="標楷體" w:hint="eastAsia"/>
          <w:sz w:val="28"/>
          <w:szCs w:val="24"/>
        </w:rPr>
        <w:t>1</w:t>
      </w:r>
      <w:r w:rsidR="00CE2E16" w:rsidRPr="00327662">
        <w:rPr>
          <w:rFonts w:ascii="標楷體" w:eastAsia="標楷體" w:hAnsi="標楷體" w:hint="eastAsia"/>
          <w:sz w:val="28"/>
          <w:szCs w:val="24"/>
        </w:rPr>
        <w:t>3</w:t>
      </w:r>
      <w:r w:rsidRPr="00327662">
        <w:rPr>
          <w:rFonts w:ascii="標楷體" w:eastAsia="標楷體" w:hAnsi="標楷體" w:hint="eastAsia"/>
          <w:sz w:val="28"/>
          <w:szCs w:val="24"/>
        </w:rPr>
        <w:t>）</w:t>
      </w:r>
      <w:r w:rsidR="00BE2919" w:rsidRPr="00327662">
        <w:rPr>
          <w:rFonts w:ascii="標楷體" w:eastAsia="標楷體" w:hAnsi="標楷體" w:hint="eastAsia"/>
          <w:sz w:val="28"/>
          <w:szCs w:val="24"/>
        </w:rPr>
        <w:t>。</w:t>
      </w:r>
    </w:p>
    <w:p w14:paraId="6804BCC8" w14:textId="297D3C42"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18CB41B7" w14:textId="218B8C9D" w:rsidR="00ED00F1" w:rsidRDefault="00ED00F1" w:rsidP="00ED00F1">
      <w:pPr>
        <w:jc w:val="center"/>
        <w:rPr>
          <w:rFonts w:ascii="標楷體" w:eastAsia="標楷體" w:hAnsi="標楷體"/>
          <w:sz w:val="28"/>
          <w:szCs w:val="24"/>
        </w:rPr>
      </w:pPr>
      <w:r w:rsidRPr="006836FC">
        <w:rPr>
          <w:rFonts w:ascii="標楷體" w:eastAsia="標楷體" w:hAnsi="標楷體"/>
          <w:sz w:val="28"/>
          <w:szCs w:val="24"/>
        </w:rPr>
        <w:t>圖</w:t>
      </w:r>
      <w:r w:rsidR="00CE2E16">
        <w:rPr>
          <w:rFonts w:ascii="標楷體" w:eastAsia="標楷體" w:hAnsi="標楷體"/>
          <w:sz w:val="28"/>
          <w:szCs w:val="24"/>
        </w:rPr>
        <w:t>12</w:t>
      </w:r>
      <w:r w:rsidRPr="006836FC">
        <w:rPr>
          <w:rFonts w:ascii="標楷體" w:eastAsia="標楷體" w:hAnsi="標楷體"/>
          <w:sz w:val="28"/>
          <w:szCs w:val="24"/>
        </w:rPr>
        <w:t>：</w:t>
      </w:r>
      <w:r>
        <w:rPr>
          <w:rFonts w:ascii="標楷體" w:eastAsia="標楷體" w:hAnsi="標楷體"/>
          <w:sz w:val="28"/>
          <w:szCs w:val="24"/>
        </w:rPr>
        <w:t>10</w:t>
      </w:r>
      <w:r w:rsidR="00352733">
        <w:rPr>
          <w:rFonts w:ascii="標楷體" w:eastAsia="標楷體" w:hAnsi="標楷體" w:hint="eastAsia"/>
          <w:sz w:val="28"/>
          <w:szCs w:val="24"/>
        </w:rPr>
        <w:t>7</w:t>
      </w:r>
      <w:r>
        <w:rPr>
          <w:rFonts w:ascii="標楷體" w:eastAsia="標楷體" w:hAnsi="標楷體"/>
          <w:sz w:val="28"/>
          <w:szCs w:val="24"/>
        </w:rPr>
        <w:t>-108年展演入場方式</w:t>
      </w:r>
      <w:proofErr w:type="gramStart"/>
      <w:r>
        <w:rPr>
          <w:rFonts w:ascii="標楷體" w:eastAsia="標楷體" w:hAnsi="標楷體"/>
          <w:sz w:val="28"/>
          <w:szCs w:val="24"/>
        </w:rPr>
        <w:t>佔</w:t>
      </w:r>
      <w:proofErr w:type="gramEnd"/>
      <w:r>
        <w:rPr>
          <w:rFonts w:ascii="標楷體" w:eastAsia="標楷體" w:hAnsi="標楷體"/>
          <w:sz w:val="28"/>
          <w:szCs w:val="24"/>
        </w:rPr>
        <w:t>比</w:t>
      </w:r>
    </w:p>
    <w:p w14:paraId="019E2A72" w14:textId="29DB30A3" w:rsidR="005A6A0D" w:rsidRDefault="005A6A0D" w:rsidP="00ED00F1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58E5B747" wp14:editId="4B3ACD54">
            <wp:extent cx="5461405" cy="3275330"/>
            <wp:effectExtent l="0" t="0" r="6350" b="1270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471" cy="3276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4C306" w14:textId="5E9BDA89" w:rsidR="00216C7E" w:rsidRPr="00DD676C" w:rsidRDefault="00216C7E" w:rsidP="00DD676C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73DAAA33" w14:textId="77777777" w:rsidR="00216C7E" w:rsidRDefault="00216C7E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26C04B62" w14:textId="77777777" w:rsidR="00216C7E" w:rsidRDefault="00216C7E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3F72998F" w14:textId="77777777" w:rsidR="00FB6B5F" w:rsidRPr="00A96466" w:rsidRDefault="00FB6B5F" w:rsidP="00A96466">
      <w:pPr>
        <w:rPr>
          <w:rFonts w:ascii="標楷體" w:eastAsia="標楷體" w:hAnsi="標楷體"/>
          <w:sz w:val="28"/>
          <w:szCs w:val="24"/>
        </w:rPr>
      </w:pPr>
    </w:p>
    <w:p w14:paraId="2A79CF14" w14:textId="1BADEE26" w:rsidR="00FB6B5F" w:rsidRDefault="00ED00F1" w:rsidP="007F01A8">
      <w:pPr>
        <w:jc w:val="center"/>
        <w:rPr>
          <w:rFonts w:ascii="標楷體" w:eastAsia="標楷體" w:hAnsi="標楷體"/>
          <w:sz w:val="28"/>
          <w:szCs w:val="24"/>
        </w:rPr>
      </w:pPr>
      <w:r w:rsidRPr="006836FC">
        <w:rPr>
          <w:rFonts w:ascii="標楷體" w:eastAsia="標楷體" w:hAnsi="標楷體"/>
          <w:sz w:val="28"/>
          <w:szCs w:val="24"/>
        </w:rPr>
        <w:lastRenderedPageBreak/>
        <w:t>圖</w:t>
      </w:r>
      <w:r w:rsidR="00A96466">
        <w:rPr>
          <w:rFonts w:ascii="標楷體" w:eastAsia="標楷體" w:hAnsi="標楷體"/>
          <w:sz w:val="28"/>
          <w:szCs w:val="24"/>
        </w:rPr>
        <w:t>1</w:t>
      </w:r>
      <w:r w:rsidR="00CE2E16">
        <w:rPr>
          <w:rFonts w:ascii="標楷體" w:eastAsia="標楷體" w:hAnsi="標楷體"/>
          <w:sz w:val="28"/>
          <w:szCs w:val="24"/>
        </w:rPr>
        <w:t>3</w:t>
      </w:r>
      <w:r w:rsidRPr="006836FC">
        <w:rPr>
          <w:rFonts w:ascii="標楷體" w:eastAsia="標楷體" w:hAnsi="標楷體"/>
          <w:sz w:val="28"/>
          <w:szCs w:val="24"/>
        </w:rPr>
        <w:t>：</w:t>
      </w:r>
      <w:r>
        <w:rPr>
          <w:rFonts w:ascii="標楷體" w:eastAsia="標楷體" w:hAnsi="標楷體"/>
          <w:sz w:val="28"/>
          <w:szCs w:val="24"/>
        </w:rPr>
        <w:t>109</w:t>
      </w:r>
      <w:r w:rsidR="007F01A8">
        <w:rPr>
          <w:rFonts w:ascii="標楷體" w:eastAsia="標楷體" w:hAnsi="標楷體"/>
          <w:sz w:val="28"/>
          <w:szCs w:val="24"/>
        </w:rPr>
        <w:t>-11</w:t>
      </w:r>
      <w:r w:rsidR="00352733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年展演入場方式</w:t>
      </w:r>
      <w:proofErr w:type="gramStart"/>
      <w:r>
        <w:rPr>
          <w:rFonts w:ascii="標楷體" w:eastAsia="標楷體" w:hAnsi="標楷體"/>
          <w:sz w:val="28"/>
          <w:szCs w:val="24"/>
        </w:rPr>
        <w:t>佔</w:t>
      </w:r>
      <w:proofErr w:type="gramEnd"/>
      <w:r>
        <w:rPr>
          <w:rFonts w:ascii="標楷體" w:eastAsia="標楷體" w:hAnsi="標楷體"/>
          <w:sz w:val="28"/>
          <w:szCs w:val="24"/>
        </w:rPr>
        <w:t>比</w:t>
      </w:r>
    </w:p>
    <w:p w14:paraId="6F83834E" w14:textId="6A898EDE" w:rsidR="00867727" w:rsidRDefault="00867727" w:rsidP="007F01A8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71D02FA0" wp14:editId="1F7F535B">
            <wp:extent cx="4953000" cy="2977289"/>
            <wp:effectExtent l="0" t="0" r="0" b="0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98" cy="2997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9FAB9" w14:textId="77777777" w:rsidR="00CE2E16" w:rsidRPr="007F01A8" w:rsidRDefault="00CE2E16" w:rsidP="007F01A8">
      <w:pPr>
        <w:jc w:val="center"/>
        <w:rPr>
          <w:rFonts w:ascii="標楷體" w:eastAsia="標楷體" w:hAnsi="標楷體"/>
          <w:sz w:val="28"/>
          <w:szCs w:val="24"/>
        </w:rPr>
      </w:pPr>
    </w:p>
    <w:p w14:paraId="6942AEF7" w14:textId="77777777" w:rsidR="00F42FF8" w:rsidRPr="00327662" w:rsidRDefault="00EB6BB0" w:rsidP="00260493">
      <w:pPr>
        <w:jc w:val="both"/>
        <w:rPr>
          <w:rFonts w:ascii="標楷體" w:eastAsia="標楷體" w:hAnsi="標楷體" w:cs="Times New Roman"/>
          <w:sz w:val="28"/>
          <w:szCs w:val="24"/>
        </w:rPr>
      </w:pPr>
      <w:r w:rsidRPr="005D4864">
        <w:rPr>
          <w:rFonts w:ascii="標楷體" w:eastAsia="標楷體" w:hAnsi="標楷體" w:hint="eastAsia"/>
          <w:sz w:val="28"/>
          <w:szCs w:val="24"/>
        </w:rPr>
        <w:t>三、</w:t>
      </w:r>
      <w:r w:rsidR="00546ECA" w:rsidRPr="005D4864">
        <w:rPr>
          <w:rFonts w:ascii="標楷體" w:eastAsia="標楷體" w:hAnsi="標楷體" w:hint="eastAsia"/>
          <w:sz w:val="28"/>
          <w:szCs w:val="24"/>
        </w:rPr>
        <w:t>結論與建議</w:t>
      </w:r>
      <w:r w:rsidRPr="00546ECA">
        <w:rPr>
          <w:rFonts w:ascii="標楷體" w:eastAsia="標楷體" w:hAnsi="標楷體"/>
          <w:sz w:val="28"/>
          <w:szCs w:val="24"/>
        </w:rPr>
        <w:br/>
      </w:r>
      <w:r w:rsidRPr="00217FF0">
        <w:rPr>
          <w:rFonts w:ascii="標楷體" w:eastAsia="標楷體" w:hAnsi="標楷體" w:hint="eastAsia"/>
          <w:sz w:val="28"/>
          <w:szCs w:val="24"/>
        </w:rPr>
        <w:t xml:space="preserve">   </w:t>
      </w:r>
      <w:r w:rsidR="00083963" w:rsidRPr="00217FF0">
        <w:rPr>
          <w:rFonts w:ascii="標楷體" w:eastAsia="標楷體" w:hAnsi="標楷體" w:hint="eastAsia"/>
          <w:sz w:val="28"/>
          <w:szCs w:val="24"/>
        </w:rPr>
        <w:t xml:space="preserve"> </w:t>
      </w:r>
      <w:r w:rsidR="008B2369" w:rsidRPr="008B2369">
        <w:rPr>
          <w:rFonts w:ascii="標楷體" w:eastAsia="標楷體" w:hAnsi="標楷體" w:cs="Times New Roman" w:hint="eastAsia"/>
          <w:sz w:val="28"/>
          <w:szCs w:val="24"/>
        </w:rPr>
        <w:t>由以上分析可</w:t>
      </w:r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知，</w:t>
      </w:r>
      <w:proofErr w:type="gramStart"/>
      <w:r w:rsidR="00FB4FDD" w:rsidRPr="00327662">
        <w:rPr>
          <w:rFonts w:ascii="標楷體" w:eastAsia="標楷體" w:hAnsi="標楷體" w:cs="Times New Roman" w:hint="eastAsia"/>
          <w:sz w:val="28"/>
          <w:szCs w:val="24"/>
        </w:rPr>
        <w:t>107至111年苗北藝文</w:t>
      </w:r>
      <w:proofErr w:type="gramEnd"/>
      <w:r w:rsidR="00FB4FDD" w:rsidRPr="00327662">
        <w:rPr>
          <w:rFonts w:ascii="標楷體" w:eastAsia="標楷體" w:hAnsi="標楷體" w:cs="Times New Roman" w:hint="eastAsia"/>
          <w:sz w:val="28"/>
          <w:szCs w:val="24"/>
        </w:rPr>
        <w:t>中心</w:t>
      </w:r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每年平均辦理223場次不等之展演活動，其中以音樂類別為第一，而每年參與聆賞人次約為8萬人次</w:t>
      </w:r>
      <w:r w:rsidR="00FB4FDD" w:rsidRPr="00327662">
        <w:rPr>
          <w:rFonts w:ascii="標楷體" w:eastAsia="標楷體" w:hAnsi="標楷體" w:cs="Times New Roman" w:hint="eastAsia"/>
          <w:sz w:val="28"/>
          <w:szCs w:val="24"/>
        </w:rPr>
        <w:t>(</w:t>
      </w:r>
      <w:proofErr w:type="gramStart"/>
      <w:r w:rsidR="00FB4FDD" w:rsidRPr="00327662">
        <w:rPr>
          <w:rFonts w:ascii="標楷體" w:eastAsia="標楷體" w:hAnsi="標楷體" w:cs="Times New Roman" w:hint="eastAsia"/>
          <w:sz w:val="28"/>
          <w:szCs w:val="24"/>
        </w:rPr>
        <w:t>詳表</w:t>
      </w:r>
      <w:proofErr w:type="gramEnd"/>
      <w:r w:rsidR="00FB4FDD" w:rsidRPr="00327662">
        <w:rPr>
          <w:rFonts w:ascii="標楷體" w:eastAsia="標楷體" w:hAnsi="標楷體" w:cs="Times New Roman" w:hint="eastAsia"/>
          <w:sz w:val="28"/>
          <w:szCs w:val="24"/>
        </w:rPr>
        <w:t>4)</w:t>
      </w:r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，入場聆賞人次</w:t>
      </w:r>
      <w:proofErr w:type="gramStart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佔</w:t>
      </w:r>
      <w:proofErr w:type="gramEnd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比分析，以非售票進場</w:t>
      </w:r>
      <w:r w:rsidR="00AE5C8D" w:rsidRPr="00327662">
        <w:rPr>
          <w:rFonts w:ascii="標楷體" w:eastAsia="標楷體" w:hAnsi="標楷體" w:cs="Times New Roman" w:hint="eastAsia"/>
          <w:sz w:val="28"/>
          <w:szCs w:val="24"/>
        </w:rPr>
        <w:t>人次</w:t>
      </w:r>
      <w:proofErr w:type="gramStart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佔</w:t>
      </w:r>
      <w:proofErr w:type="gramEnd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比64％最高，自109年起「</w:t>
      </w:r>
      <w:proofErr w:type="gramStart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苗北藝文</w:t>
      </w:r>
      <w:proofErr w:type="gramEnd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中心」轉型為「行政法人」後，舉辦活動演出形式之統計資料做調整，不再侷限以演出活動類型，而分別以「演出活動」、「藝文展覽」、「教育推展」等舉辦活動類型及提供民眾辦理活動、演講、會議與教學課程使用等「場域空間」之面向做資料統計，多元呈現表演場所活動舉辦情形，</w:t>
      </w:r>
      <w:proofErr w:type="gramStart"/>
      <w:r w:rsidR="00D10131" w:rsidRPr="00327662">
        <w:rPr>
          <w:rFonts w:ascii="標楷體" w:eastAsia="標楷體" w:hAnsi="標楷體" w:cs="Times New Roman" w:hint="eastAsia"/>
          <w:sz w:val="28"/>
          <w:szCs w:val="24"/>
        </w:rPr>
        <w:t>111年</w:t>
      </w:r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苗北藝文</w:t>
      </w:r>
      <w:proofErr w:type="gramEnd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中心辦理展演活動場次型態以演出活動</w:t>
      </w:r>
      <w:proofErr w:type="gramStart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佔</w:t>
      </w:r>
      <w:proofErr w:type="gramEnd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47％為</w:t>
      </w:r>
      <w:proofErr w:type="gramStart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大宗，</w:t>
      </w:r>
      <w:proofErr w:type="gramEnd"/>
      <w:r w:rsidR="008B2369" w:rsidRPr="008B2369">
        <w:rPr>
          <w:rFonts w:ascii="標楷體" w:eastAsia="標楷體" w:hAnsi="標楷體" w:cs="Times New Roman" w:hint="eastAsia"/>
          <w:sz w:val="28"/>
          <w:szCs w:val="24"/>
        </w:rPr>
        <w:t>第二為教育推</w:t>
      </w:r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lastRenderedPageBreak/>
        <w:t>廣</w:t>
      </w:r>
      <w:proofErr w:type="gramStart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佔</w:t>
      </w:r>
      <w:proofErr w:type="gramEnd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36％，</w:t>
      </w:r>
      <w:r w:rsidR="00F42FF8" w:rsidRPr="00327662">
        <w:rPr>
          <w:rFonts w:ascii="標楷體" w:eastAsia="標楷體" w:hAnsi="標楷體" w:cs="Times New Roman" w:hint="eastAsia"/>
          <w:sz w:val="28"/>
          <w:szCs w:val="24"/>
        </w:rPr>
        <w:t>場域空間11%，藝文展覽6％。另針對</w:t>
      </w:r>
      <w:proofErr w:type="gramStart"/>
      <w:r w:rsidR="00F42FF8" w:rsidRPr="00327662">
        <w:rPr>
          <w:rFonts w:ascii="標楷體" w:eastAsia="標楷體" w:hAnsi="標楷體" w:cs="Times New Roman" w:hint="eastAsia"/>
          <w:sz w:val="28"/>
          <w:szCs w:val="24"/>
        </w:rPr>
        <w:t>111</w:t>
      </w:r>
      <w:proofErr w:type="gramEnd"/>
      <w:r w:rsidR="00F42FF8" w:rsidRPr="00327662">
        <w:rPr>
          <w:rFonts w:ascii="標楷體" w:eastAsia="標楷體" w:hAnsi="標楷體" w:cs="Times New Roman" w:hint="eastAsia"/>
          <w:sz w:val="28"/>
          <w:szCs w:val="24"/>
        </w:rPr>
        <w:t>年度展場入場方式及入場聆賞人次作分析，雖藝文展覽之聆賞人次為最多，而演出活動類型人次</w:t>
      </w:r>
      <w:proofErr w:type="gramStart"/>
      <w:r w:rsidR="00F42FF8" w:rsidRPr="00327662">
        <w:rPr>
          <w:rFonts w:ascii="標楷體" w:eastAsia="標楷體" w:hAnsi="標楷體" w:cs="Times New Roman" w:hint="eastAsia"/>
          <w:sz w:val="28"/>
          <w:szCs w:val="24"/>
        </w:rPr>
        <w:t>次</w:t>
      </w:r>
      <w:proofErr w:type="gramEnd"/>
      <w:r w:rsidR="00F42FF8" w:rsidRPr="00327662">
        <w:rPr>
          <w:rFonts w:ascii="標楷體" w:eastAsia="標楷體" w:hAnsi="標楷體" w:cs="Times New Roman" w:hint="eastAsia"/>
          <w:sz w:val="28"/>
          <w:szCs w:val="24"/>
        </w:rPr>
        <w:t>之。</w:t>
      </w:r>
      <w:proofErr w:type="gramStart"/>
      <w:r w:rsidR="00F42FF8" w:rsidRPr="00327662">
        <w:rPr>
          <w:rFonts w:ascii="標楷體" w:eastAsia="標楷體" w:hAnsi="標楷體" w:cs="Times New Roman" w:hint="eastAsia"/>
          <w:sz w:val="28"/>
          <w:szCs w:val="24"/>
        </w:rPr>
        <w:t>另展演</w:t>
      </w:r>
      <w:proofErr w:type="gramEnd"/>
      <w:r w:rsidR="00F42FF8" w:rsidRPr="00327662">
        <w:rPr>
          <w:rFonts w:ascii="標楷體" w:eastAsia="標楷體" w:hAnsi="標楷體" w:cs="Times New Roman" w:hint="eastAsia"/>
          <w:sz w:val="28"/>
          <w:szCs w:val="24"/>
        </w:rPr>
        <w:t>入場</w:t>
      </w:r>
      <w:proofErr w:type="gramStart"/>
      <w:r w:rsidR="00F42FF8" w:rsidRPr="00327662">
        <w:rPr>
          <w:rFonts w:ascii="標楷體" w:eastAsia="標楷體" w:hAnsi="標楷體" w:cs="Times New Roman" w:hint="eastAsia"/>
          <w:sz w:val="28"/>
          <w:szCs w:val="24"/>
        </w:rPr>
        <w:t>方式改非售票</w:t>
      </w:r>
      <w:proofErr w:type="gramEnd"/>
      <w:r w:rsidR="00F42FF8" w:rsidRPr="00327662">
        <w:rPr>
          <w:rFonts w:ascii="標楷體" w:eastAsia="標楷體" w:hAnsi="標楷體" w:cs="Times New Roman" w:hint="eastAsia"/>
          <w:sz w:val="28"/>
          <w:szCs w:val="24"/>
        </w:rPr>
        <w:t>方式</w:t>
      </w:r>
      <w:proofErr w:type="gramStart"/>
      <w:r w:rsidR="00F42FF8" w:rsidRPr="00327662">
        <w:rPr>
          <w:rFonts w:ascii="標楷體" w:eastAsia="標楷體" w:hAnsi="標楷體" w:cs="Times New Roman" w:hint="eastAsia"/>
          <w:sz w:val="28"/>
          <w:szCs w:val="24"/>
        </w:rPr>
        <w:t>佔</w:t>
      </w:r>
      <w:proofErr w:type="gramEnd"/>
      <w:r w:rsidR="00F42FF8" w:rsidRPr="00327662">
        <w:rPr>
          <w:rFonts w:ascii="標楷體" w:eastAsia="標楷體" w:hAnsi="標楷體" w:cs="Times New Roman" w:hint="eastAsia"/>
          <w:sz w:val="28"/>
          <w:szCs w:val="24"/>
        </w:rPr>
        <w:t>65%為主。</w:t>
      </w:r>
    </w:p>
    <w:p w14:paraId="19DDA706" w14:textId="09D75DE9" w:rsidR="008B2369" w:rsidRPr="00327662" w:rsidRDefault="001F6A5E" w:rsidP="00260493">
      <w:pPr>
        <w:jc w:val="both"/>
        <w:rPr>
          <w:rFonts w:ascii="標楷體" w:eastAsia="標楷體" w:hAnsi="標楷體" w:cs="Times New Roman"/>
          <w:sz w:val="28"/>
          <w:szCs w:val="24"/>
        </w:rPr>
      </w:pPr>
      <w:r w:rsidRPr="00327662">
        <w:rPr>
          <w:rFonts w:ascii="標楷體" w:eastAsia="標楷體" w:hAnsi="標楷體" w:cs="Times New Roman" w:hint="eastAsia"/>
          <w:sz w:val="28"/>
          <w:szCs w:val="24"/>
        </w:rPr>
        <w:t xml:space="preserve">    </w:t>
      </w:r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相較於前兩年，111年前期雖受</w:t>
      </w:r>
      <w:r w:rsidR="008B2369" w:rsidRPr="00327662">
        <w:rPr>
          <w:rFonts w:ascii="標楷體" w:eastAsia="標楷體" w:hAnsi="標楷體" w:cs="Times New Roman" w:hint="eastAsia"/>
          <w:sz w:val="27"/>
          <w:szCs w:val="27"/>
        </w:rPr>
        <w:t>嚴重特殊傳染性肺炎(COVID-19)影響</w:t>
      </w:r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，但後期因</w:t>
      </w:r>
      <w:proofErr w:type="gramStart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疫</w:t>
      </w:r>
      <w:proofErr w:type="gramEnd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情獲得控制，加上藝術團隊節目回溫，外租節目之多元類型、製作規模及需求等亦有調整，相對帶動外租場次教育推廣類之活動增加使用，故吸引藝文消費人口成長。</w:t>
      </w:r>
      <w:proofErr w:type="gramStart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未來苗北將賡</w:t>
      </w:r>
      <w:proofErr w:type="gramEnd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續透過規劃精緻展演活動及推廣擴大族群參與，提升恢復藝文參與人口，並從劇場安全及民眾服務的角度，繼續打造中心成為具安全劇場、友善團隊的專業場館，希冀吸引更多藝文愛好者不斷回流，活絡</w:t>
      </w:r>
      <w:proofErr w:type="gramStart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藝苗北場</w:t>
      </w:r>
      <w:proofErr w:type="gramEnd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域，讓文化、藝術、展演的生命力</w:t>
      </w:r>
      <w:proofErr w:type="gramStart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在苗北藝文</w:t>
      </w:r>
      <w:proofErr w:type="gramEnd"/>
      <w:r w:rsidR="008B2369" w:rsidRPr="00327662">
        <w:rPr>
          <w:rFonts w:ascii="標楷體" w:eastAsia="標楷體" w:hAnsi="標楷體" w:cs="Times New Roman" w:hint="eastAsia"/>
          <w:sz w:val="28"/>
          <w:szCs w:val="24"/>
        </w:rPr>
        <w:t>中心永續蓬勃發展。</w:t>
      </w:r>
    </w:p>
    <w:p w14:paraId="2C367AE7" w14:textId="675D45DA" w:rsidR="009C12FA" w:rsidRPr="00327662" w:rsidRDefault="009C12FA" w:rsidP="008B2369">
      <w:pPr>
        <w:rPr>
          <w:rFonts w:ascii="標楷體" w:eastAsia="標楷體" w:hAnsi="標楷體"/>
          <w:sz w:val="28"/>
          <w:szCs w:val="24"/>
        </w:rPr>
      </w:pPr>
    </w:p>
    <w:sectPr w:rsidR="009C12FA" w:rsidRPr="00327662" w:rsidSect="00E5283D">
      <w:footerReference w:type="default" r:id="rId30"/>
      <w:type w:val="continuous"/>
      <w:pgSz w:w="11906" w:h="16838" w:code="9"/>
      <w:pgMar w:top="1440" w:right="1797" w:bottom="1440" w:left="179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E964" w14:textId="77777777" w:rsidR="007B100D" w:rsidRDefault="007B100D" w:rsidP="00226F68">
      <w:r>
        <w:separator/>
      </w:r>
    </w:p>
  </w:endnote>
  <w:endnote w:type="continuationSeparator" w:id="0">
    <w:p w14:paraId="7A4FB2F4" w14:textId="77777777" w:rsidR="007B100D" w:rsidRDefault="007B100D" w:rsidP="0022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FangSo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6888" w14:textId="44028EB7" w:rsidR="00E05E2D" w:rsidRDefault="00E05E2D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755070"/>
      <w:docPartObj>
        <w:docPartGallery w:val="Page Numbers (Bottom of Page)"/>
        <w:docPartUnique/>
      </w:docPartObj>
    </w:sdtPr>
    <w:sdtEndPr/>
    <w:sdtContent>
      <w:p w14:paraId="420BA70C" w14:textId="77777777" w:rsidR="007B203F" w:rsidRDefault="007B2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6D21" w14:textId="77777777" w:rsidR="007B100D" w:rsidRDefault="007B100D" w:rsidP="00226F68">
      <w:r>
        <w:separator/>
      </w:r>
    </w:p>
  </w:footnote>
  <w:footnote w:type="continuationSeparator" w:id="0">
    <w:p w14:paraId="777556B7" w14:textId="77777777" w:rsidR="007B100D" w:rsidRDefault="007B100D" w:rsidP="0022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8664" w14:textId="31D54C2C" w:rsidR="000E697A" w:rsidRDefault="000E697A">
    <w:pPr>
      <w:pStyle w:val="a3"/>
    </w:pPr>
  </w:p>
  <w:p w14:paraId="76D67AAA" w14:textId="14A7737F" w:rsidR="000E697A" w:rsidRDefault="000E697A" w:rsidP="000E697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615"/>
    <w:multiLevelType w:val="hybridMultilevel"/>
    <w:tmpl w:val="AF8654A2"/>
    <w:lvl w:ilvl="0" w:tplc="A0FA22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430FF7"/>
    <w:multiLevelType w:val="hybridMultilevel"/>
    <w:tmpl w:val="E20438C4"/>
    <w:lvl w:ilvl="0" w:tplc="04090017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F72A7"/>
    <w:multiLevelType w:val="hybridMultilevel"/>
    <w:tmpl w:val="68C48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0C3031"/>
    <w:multiLevelType w:val="hybridMultilevel"/>
    <w:tmpl w:val="2FBED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DA1E32"/>
    <w:multiLevelType w:val="hybridMultilevel"/>
    <w:tmpl w:val="44FC05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937FF"/>
    <w:multiLevelType w:val="hybridMultilevel"/>
    <w:tmpl w:val="1CEC1092"/>
    <w:lvl w:ilvl="0" w:tplc="2522E5A2">
      <w:start w:val="9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D970484"/>
    <w:multiLevelType w:val="hybridMultilevel"/>
    <w:tmpl w:val="1F4E78A6"/>
    <w:lvl w:ilvl="0" w:tplc="72242CD4">
      <w:start w:val="9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4925C09"/>
    <w:multiLevelType w:val="hybridMultilevel"/>
    <w:tmpl w:val="9FFC0E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DB4CB2"/>
    <w:multiLevelType w:val="hybridMultilevel"/>
    <w:tmpl w:val="0D00F596"/>
    <w:lvl w:ilvl="0" w:tplc="E06EA1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46"/>
    <w:rsid w:val="00007A79"/>
    <w:rsid w:val="00012768"/>
    <w:rsid w:val="000215E7"/>
    <w:rsid w:val="00030826"/>
    <w:rsid w:val="000337FA"/>
    <w:rsid w:val="00035AD8"/>
    <w:rsid w:val="00040AA3"/>
    <w:rsid w:val="000431E7"/>
    <w:rsid w:val="00043CB6"/>
    <w:rsid w:val="00057233"/>
    <w:rsid w:val="000750E2"/>
    <w:rsid w:val="00077ED5"/>
    <w:rsid w:val="00080FD8"/>
    <w:rsid w:val="00083963"/>
    <w:rsid w:val="000871A1"/>
    <w:rsid w:val="000965A4"/>
    <w:rsid w:val="000A58FE"/>
    <w:rsid w:val="000B3F05"/>
    <w:rsid w:val="000C1084"/>
    <w:rsid w:val="000D009D"/>
    <w:rsid w:val="000D2B13"/>
    <w:rsid w:val="000D6D1A"/>
    <w:rsid w:val="000E2F76"/>
    <w:rsid w:val="000E697A"/>
    <w:rsid w:val="000F6F50"/>
    <w:rsid w:val="000F7089"/>
    <w:rsid w:val="0010312E"/>
    <w:rsid w:val="001105F4"/>
    <w:rsid w:val="00111037"/>
    <w:rsid w:val="00116007"/>
    <w:rsid w:val="001257D8"/>
    <w:rsid w:val="00134B6A"/>
    <w:rsid w:val="0014120E"/>
    <w:rsid w:val="001425A5"/>
    <w:rsid w:val="00144364"/>
    <w:rsid w:val="00150346"/>
    <w:rsid w:val="00150A43"/>
    <w:rsid w:val="00153075"/>
    <w:rsid w:val="00164C52"/>
    <w:rsid w:val="00166F1E"/>
    <w:rsid w:val="0017375D"/>
    <w:rsid w:val="00173DA4"/>
    <w:rsid w:val="001A0FEE"/>
    <w:rsid w:val="001A4492"/>
    <w:rsid w:val="001B0ADC"/>
    <w:rsid w:val="001B5ED7"/>
    <w:rsid w:val="001B5F0C"/>
    <w:rsid w:val="001C68A6"/>
    <w:rsid w:val="001E2116"/>
    <w:rsid w:val="001E4C8F"/>
    <w:rsid w:val="001E6EF6"/>
    <w:rsid w:val="001F6A5E"/>
    <w:rsid w:val="002004B5"/>
    <w:rsid w:val="0021138E"/>
    <w:rsid w:val="00216C7E"/>
    <w:rsid w:val="0021714B"/>
    <w:rsid w:val="00217FF0"/>
    <w:rsid w:val="002203BD"/>
    <w:rsid w:val="0022260F"/>
    <w:rsid w:val="00225EAB"/>
    <w:rsid w:val="00226B98"/>
    <w:rsid w:val="00226F68"/>
    <w:rsid w:val="00236508"/>
    <w:rsid w:val="00256D30"/>
    <w:rsid w:val="00260493"/>
    <w:rsid w:val="00261200"/>
    <w:rsid w:val="0026230F"/>
    <w:rsid w:val="00267378"/>
    <w:rsid w:val="00272742"/>
    <w:rsid w:val="00276FE2"/>
    <w:rsid w:val="00290CBA"/>
    <w:rsid w:val="0029321A"/>
    <w:rsid w:val="002A0DB6"/>
    <w:rsid w:val="002A1845"/>
    <w:rsid w:val="002A1D0E"/>
    <w:rsid w:val="002B099D"/>
    <w:rsid w:val="002C2BC2"/>
    <w:rsid w:val="002E45D9"/>
    <w:rsid w:val="002F4D05"/>
    <w:rsid w:val="002F6EC9"/>
    <w:rsid w:val="00327662"/>
    <w:rsid w:val="00343EDF"/>
    <w:rsid w:val="00352622"/>
    <w:rsid w:val="00352733"/>
    <w:rsid w:val="00356538"/>
    <w:rsid w:val="00357039"/>
    <w:rsid w:val="00367D0A"/>
    <w:rsid w:val="00381D89"/>
    <w:rsid w:val="00396220"/>
    <w:rsid w:val="003B2BE8"/>
    <w:rsid w:val="003C1AF9"/>
    <w:rsid w:val="003C4543"/>
    <w:rsid w:val="003C66D1"/>
    <w:rsid w:val="00407670"/>
    <w:rsid w:val="00417844"/>
    <w:rsid w:val="00426A9A"/>
    <w:rsid w:val="0042706A"/>
    <w:rsid w:val="00427B40"/>
    <w:rsid w:val="004425F5"/>
    <w:rsid w:val="00460EDF"/>
    <w:rsid w:val="00463D85"/>
    <w:rsid w:val="00485544"/>
    <w:rsid w:val="004924AF"/>
    <w:rsid w:val="004A03CD"/>
    <w:rsid w:val="004A3D97"/>
    <w:rsid w:val="004B14A4"/>
    <w:rsid w:val="004B5916"/>
    <w:rsid w:val="004D1014"/>
    <w:rsid w:val="004E2594"/>
    <w:rsid w:val="004F5BE7"/>
    <w:rsid w:val="004F5F9A"/>
    <w:rsid w:val="00502F14"/>
    <w:rsid w:val="00506234"/>
    <w:rsid w:val="005124E8"/>
    <w:rsid w:val="005131D8"/>
    <w:rsid w:val="00514DAF"/>
    <w:rsid w:val="00523FAB"/>
    <w:rsid w:val="005258DD"/>
    <w:rsid w:val="00526D24"/>
    <w:rsid w:val="00531883"/>
    <w:rsid w:val="005320E5"/>
    <w:rsid w:val="0054300F"/>
    <w:rsid w:val="00545181"/>
    <w:rsid w:val="00545FB0"/>
    <w:rsid w:val="00546ECA"/>
    <w:rsid w:val="00561BFB"/>
    <w:rsid w:val="005711E0"/>
    <w:rsid w:val="00590F94"/>
    <w:rsid w:val="00597659"/>
    <w:rsid w:val="005A49F2"/>
    <w:rsid w:val="005A6A0D"/>
    <w:rsid w:val="005B1048"/>
    <w:rsid w:val="005B142B"/>
    <w:rsid w:val="005B5AD5"/>
    <w:rsid w:val="005C28FB"/>
    <w:rsid w:val="005C375B"/>
    <w:rsid w:val="005D03D7"/>
    <w:rsid w:val="005D0C99"/>
    <w:rsid w:val="005D1D12"/>
    <w:rsid w:val="005D33F7"/>
    <w:rsid w:val="005D4864"/>
    <w:rsid w:val="005E0D2C"/>
    <w:rsid w:val="005E7FE8"/>
    <w:rsid w:val="005F0C15"/>
    <w:rsid w:val="005F5190"/>
    <w:rsid w:val="00603818"/>
    <w:rsid w:val="006046F8"/>
    <w:rsid w:val="00616E80"/>
    <w:rsid w:val="00625906"/>
    <w:rsid w:val="00625D80"/>
    <w:rsid w:val="00627FD5"/>
    <w:rsid w:val="006306A8"/>
    <w:rsid w:val="00630B23"/>
    <w:rsid w:val="0063123D"/>
    <w:rsid w:val="006336DA"/>
    <w:rsid w:val="00637623"/>
    <w:rsid w:val="00644A04"/>
    <w:rsid w:val="0065313E"/>
    <w:rsid w:val="00653CE0"/>
    <w:rsid w:val="00655694"/>
    <w:rsid w:val="00663027"/>
    <w:rsid w:val="006655E3"/>
    <w:rsid w:val="006658AB"/>
    <w:rsid w:val="0067004A"/>
    <w:rsid w:val="0067515F"/>
    <w:rsid w:val="006836FC"/>
    <w:rsid w:val="00685BF1"/>
    <w:rsid w:val="00693AC0"/>
    <w:rsid w:val="006C4DDD"/>
    <w:rsid w:val="006D12E4"/>
    <w:rsid w:val="006E0A62"/>
    <w:rsid w:val="006E1C6E"/>
    <w:rsid w:val="006E5360"/>
    <w:rsid w:val="00705DB5"/>
    <w:rsid w:val="007106AE"/>
    <w:rsid w:val="00716B7E"/>
    <w:rsid w:val="007212BC"/>
    <w:rsid w:val="00721B5A"/>
    <w:rsid w:val="00733AF8"/>
    <w:rsid w:val="00753A68"/>
    <w:rsid w:val="007609E9"/>
    <w:rsid w:val="00761609"/>
    <w:rsid w:val="00765FB4"/>
    <w:rsid w:val="007661BA"/>
    <w:rsid w:val="00785E17"/>
    <w:rsid w:val="00786592"/>
    <w:rsid w:val="00791820"/>
    <w:rsid w:val="00795833"/>
    <w:rsid w:val="00795B36"/>
    <w:rsid w:val="007A0078"/>
    <w:rsid w:val="007A7A40"/>
    <w:rsid w:val="007B100D"/>
    <w:rsid w:val="007B203F"/>
    <w:rsid w:val="007B3ACC"/>
    <w:rsid w:val="007B575E"/>
    <w:rsid w:val="007C02C3"/>
    <w:rsid w:val="007C3AF4"/>
    <w:rsid w:val="007C57B6"/>
    <w:rsid w:val="007C5ECE"/>
    <w:rsid w:val="007D600C"/>
    <w:rsid w:val="007E425F"/>
    <w:rsid w:val="007E627A"/>
    <w:rsid w:val="007F01A8"/>
    <w:rsid w:val="00803EE7"/>
    <w:rsid w:val="00820052"/>
    <w:rsid w:val="0082391C"/>
    <w:rsid w:val="008337F0"/>
    <w:rsid w:val="0084140C"/>
    <w:rsid w:val="0084534B"/>
    <w:rsid w:val="00845E8E"/>
    <w:rsid w:val="0085239C"/>
    <w:rsid w:val="00853B1F"/>
    <w:rsid w:val="00854A67"/>
    <w:rsid w:val="00857D75"/>
    <w:rsid w:val="00861E5A"/>
    <w:rsid w:val="00867727"/>
    <w:rsid w:val="00867EDD"/>
    <w:rsid w:val="00882F2D"/>
    <w:rsid w:val="0088335C"/>
    <w:rsid w:val="008A3746"/>
    <w:rsid w:val="008A77A7"/>
    <w:rsid w:val="008A7AB1"/>
    <w:rsid w:val="008B1132"/>
    <w:rsid w:val="008B14B4"/>
    <w:rsid w:val="008B2369"/>
    <w:rsid w:val="008B3A4F"/>
    <w:rsid w:val="008B4377"/>
    <w:rsid w:val="008B7214"/>
    <w:rsid w:val="008C0B4A"/>
    <w:rsid w:val="008C7F20"/>
    <w:rsid w:val="008E483D"/>
    <w:rsid w:val="008F6854"/>
    <w:rsid w:val="00903DC1"/>
    <w:rsid w:val="00905F8A"/>
    <w:rsid w:val="009072A8"/>
    <w:rsid w:val="00907D6A"/>
    <w:rsid w:val="009301F1"/>
    <w:rsid w:val="00937E4A"/>
    <w:rsid w:val="009401E9"/>
    <w:rsid w:val="009502CD"/>
    <w:rsid w:val="0096094D"/>
    <w:rsid w:val="00971165"/>
    <w:rsid w:val="00974B5A"/>
    <w:rsid w:val="00977E3A"/>
    <w:rsid w:val="00984A6C"/>
    <w:rsid w:val="009907E8"/>
    <w:rsid w:val="009A0B07"/>
    <w:rsid w:val="009B0985"/>
    <w:rsid w:val="009B1971"/>
    <w:rsid w:val="009B2E37"/>
    <w:rsid w:val="009B54CA"/>
    <w:rsid w:val="009C12FA"/>
    <w:rsid w:val="009C2CAF"/>
    <w:rsid w:val="009D63B5"/>
    <w:rsid w:val="00A01925"/>
    <w:rsid w:val="00A15E87"/>
    <w:rsid w:val="00A16716"/>
    <w:rsid w:val="00A27E89"/>
    <w:rsid w:val="00A350EC"/>
    <w:rsid w:val="00A45207"/>
    <w:rsid w:val="00A47891"/>
    <w:rsid w:val="00A52952"/>
    <w:rsid w:val="00A572A8"/>
    <w:rsid w:val="00A655B1"/>
    <w:rsid w:val="00A6710A"/>
    <w:rsid w:val="00A674A3"/>
    <w:rsid w:val="00A723A7"/>
    <w:rsid w:val="00A77D33"/>
    <w:rsid w:val="00A9036A"/>
    <w:rsid w:val="00A91412"/>
    <w:rsid w:val="00A95A1E"/>
    <w:rsid w:val="00A96466"/>
    <w:rsid w:val="00AA596C"/>
    <w:rsid w:val="00AB1E85"/>
    <w:rsid w:val="00AB5406"/>
    <w:rsid w:val="00AB6833"/>
    <w:rsid w:val="00AC2195"/>
    <w:rsid w:val="00AC4ACD"/>
    <w:rsid w:val="00AD1573"/>
    <w:rsid w:val="00AE5C8D"/>
    <w:rsid w:val="00AE6FFC"/>
    <w:rsid w:val="00AE7D88"/>
    <w:rsid w:val="00AF62E4"/>
    <w:rsid w:val="00B14E4A"/>
    <w:rsid w:val="00B15100"/>
    <w:rsid w:val="00B17D41"/>
    <w:rsid w:val="00B20CE9"/>
    <w:rsid w:val="00B25D9E"/>
    <w:rsid w:val="00B2796F"/>
    <w:rsid w:val="00B31B60"/>
    <w:rsid w:val="00B43FEF"/>
    <w:rsid w:val="00B50DD1"/>
    <w:rsid w:val="00B5160C"/>
    <w:rsid w:val="00B54950"/>
    <w:rsid w:val="00B57404"/>
    <w:rsid w:val="00B57B31"/>
    <w:rsid w:val="00B66856"/>
    <w:rsid w:val="00B739D8"/>
    <w:rsid w:val="00B73C32"/>
    <w:rsid w:val="00B8616E"/>
    <w:rsid w:val="00B8671E"/>
    <w:rsid w:val="00BA5182"/>
    <w:rsid w:val="00BA5B8E"/>
    <w:rsid w:val="00BA5E4A"/>
    <w:rsid w:val="00BB3E92"/>
    <w:rsid w:val="00BB53EE"/>
    <w:rsid w:val="00BD147A"/>
    <w:rsid w:val="00BE2919"/>
    <w:rsid w:val="00BE38DF"/>
    <w:rsid w:val="00BF3DEC"/>
    <w:rsid w:val="00C0210B"/>
    <w:rsid w:val="00C0285B"/>
    <w:rsid w:val="00C04E0A"/>
    <w:rsid w:val="00C07A92"/>
    <w:rsid w:val="00C25B66"/>
    <w:rsid w:val="00C26516"/>
    <w:rsid w:val="00C27987"/>
    <w:rsid w:val="00C51D01"/>
    <w:rsid w:val="00C659D7"/>
    <w:rsid w:val="00C65F79"/>
    <w:rsid w:val="00C75D11"/>
    <w:rsid w:val="00C76A56"/>
    <w:rsid w:val="00C857E3"/>
    <w:rsid w:val="00C86699"/>
    <w:rsid w:val="00C87CFD"/>
    <w:rsid w:val="00C91F69"/>
    <w:rsid w:val="00C936EC"/>
    <w:rsid w:val="00C9783E"/>
    <w:rsid w:val="00C978CA"/>
    <w:rsid w:val="00CA58BA"/>
    <w:rsid w:val="00CA6C9A"/>
    <w:rsid w:val="00CB6D83"/>
    <w:rsid w:val="00CB7921"/>
    <w:rsid w:val="00CC61C6"/>
    <w:rsid w:val="00CC7E6D"/>
    <w:rsid w:val="00CD1489"/>
    <w:rsid w:val="00CE2E16"/>
    <w:rsid w:val="00CE4F04"/>
    <w:rsid w:val="00CE5613"/>
    <w:rsid w:val="00CE6F13"/>
    <w:rsid w:val="00CE77FA"/>
    <w:rsid w:val="00CF1780"/>
    <w:rsid w:val="00CF44D4"/>
    <w:rsid w:val="00D016D8"/>
    <w:rsid w:val="00D06DC0"/>
    <w:rsid w:val="00D10131"/>
    <w:rsid w:val="00D23D47"/>
    <w:rsid w:val="00D2564C"/>
    <w:rsid w:val="00D3393F"/>
    <w:rsid w:val="00D34EFF"/>
    <w:rsid w:val="00D3749E"/>
    <w:rsid w:val="00D42CF4"/>
    <w:rsid w:val="00D4507B"/>
    <w:rsid w:val="00D50FEC"/>
    <w:rsid w:val="00D60C9F"/>
    <w:rsid w:val="00D61B70"/>
    <w:rsid w:val="00D65DCD"/>
    <w:rsid w:val="00D65F41"/>
    <w:rsid w:val="00D75200"/>
    <w:rsid w:val="00D763AF"/>
    <w:rsid w:val="00D83FE9"/>
    <w:rsid w:val="00DB4ED8"/>
    <w:rsid w:val="00DB7652"/>
    <w:rsid w:val="00DC3580"/>
    <w:rsid w:val="00DC7287"/>
    <w:rsid w:val="00DD0FDD"/>
    <w:rsid w:val="00DD2CA8"/>
    <w:rsid w:val="00DD676C"/>
    <w:rsid w:val="00DE16D0"/>
    <w:rsid w:val="00DE2544"/>
    <w:rsid w:val="00DE5FC2"/>
    <w:rsid w:val="00DE77F5"/>
    <w:rsid w:val="00DF563F"/>
    <w:rsid w:val="00E01185"/>
    <w:rsid w:val="00E05E2D"/>
    <w:rsid w:val="00E16BD3"/>
    <w:rsid w:val="00E175A8"/>
    <w:rsid w:val="00E30EBE"/>
    <w:rsid w:val="00E366DD"/>
    <w:rsid w:val="00E36FF3"/>
    <w:rsid w:val="00E5283D"/>
    <w:rsid w:val="00E6196E"/>
    <w:rsid w:val="00E67397"/>
    <w:rsid w:val="00E75319"/>
    <w:rsid w:val="00E81262"/>
    <w:rsid w:val="00E81F6A"/>
    <w:rsid w:val="00E90B90"/>
    <w:rsid w:val="00E936C7"/>
    <w:rsid w:val="00EA3F61"/>
    <w:rsid w:val="00EB6BB0"/>
    <w:rsid w:val="00EC20F2"/>
    <w:rsid w:val="00ED00F1"/>
    <w:rsid w:val="00EE12F8"/>
    <w:rsid w:val="00EE40F9"/>
    <w:rsid w:val="00EE67F4"/>
    <w:rsid w:val="00EE73F4"/>
    <w:rsid w:val="00EF12FC"/>
    <w:rsid w:val="00F00C01"/>
    <w:rsid w:val="00F019F8"/>
    <w:rsid w:val="00F03A41"/>
    <w:rsid w:val="00F0410F"/>
    <w:rsid w:val="00F07DD2"/>
    <w:rsid w:val="00F3093B"/>
    <w:rsid w:val="00F31775"/>
    <w:rsid w:val="00F326F9"/>
    <w:rsid w:val="00F42FF8"/>
    <w:rsid w:val="00F526A9"/>
    <w:rsid w:val="00F60D90"/>
    <w:rsid w:val="00F67F5B"/>
    <w:rsid w:val="00F74A53"/>
    <w:rsid w:val="00F85632"/>
    <w:rsid w:val="00F85EF7"/>
    <w:rsid w:val="00F86182"/>
    <w:rsid w:val="00F86856"/>
    <w:rsid w:val="00FB1951"/>
    <w:rsid w:val="00FB4FDD"/>
    <w:rsid w:val="00FB6B5F"/>
    <w:rsid w:val="00FC2C13"/>
    <w:rsid w:val="00FC317A"/>
    <w:rsid w:val="00FD3CE9"/>
    <w:rsid w:val="00FF381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0582A"/>
  <w15:docId w15:val="{4B47B325-9C38-4BFB-B860-23A6F8B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6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6F68"/>
    <w:rPr>
      <w:sz w:val="20"/>
      <w:szCs w:val="20"/>
    </w:rPr>
  </w:style>
  <w:style w:type="paragraph" w:styleId="a7">
    <w:name w:val="List Paragraph"/>
    <w:basedOn w:val="a"/>
    <w:uiPriority w:val="34"/>
    <w:qFormat/>
    <w:rsid w:val="00226F68"/>
    <w:pPr>
      <w:ind w:leftChars="200" w:left="480"/>
    </w:pPr>
  </w:style>
  <w:style w:type="table" w:styleId="a8">
    <w:name w:val="Table Grid"/>
    <w:basedOn w:val="a1"/>
    <w:uiPriority w:val="59"/>
    <w:rsid w:val="0010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D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07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emf"/><Relationship Id="rId28" Type="http://schemas.openxmlformats.org/officeDocument/2006/relationships/image" Target="media/image18.png"/><Relationship Id="rId10" Type="http://schemas.openxmlformats.org/officeDocument/2006/relationships/image" Target="media/image1.emf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Nas-5f\&#34892;&#25919;&#31649;&#29702;&#37096;\+++&#24220;&#23616;&#22635;&#22577;&#36039;&#26009;\+++&#33495;&#26647;&#32291;&#25919;&#24220;&#36890;&#22577;(&#25991;&#35264;&#23616;&#26371;&#35336;&#23460;)\&#33495;&#26647;&#32291;&#32113;&#35336;&#36890;&#22577;(107-111)-&#20462;&#27491;11203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b="1">
                <a:solidFill>
                  <a:sysClr val="windowText" lastClr="000000"/>
                </a:solidFill>
                <a:latin typeface="微軟正黑體" panose="020B0604030504040204" pitchFamily="34" charset="-120"/>
                <a:ea typeface="微軟正黑體" panose="020B0604030504040204" pitchFamily="34" charset="-120"/>
              </a:rPr>
              <a:t>活動類別佔比</a:t>
            </a:r>
            <a:r>
              <a:rPr lang="en-US" altLang="zh-TW" b="1">
                <a:solidFill>
                  <a:sysClr val="windowText" lastClr="000000"/>
                </a:solidFill>
                <a:latin typeface="微軟正黑體" panose="020B0604030504040204" pitchFamily="34" charset="-120"/>
                <a:ea typeface="微軟正黑體" panose="020B0604030504040204" pitchFamily="34" charset="-120"/>
              </a:rPr>
              <a:t>(</a:t>
            </a:r>
            <a:r>
              <a:rPr lang="zh-TW" altLang="en-US" b="1">
                <a:solidFill>
                  <a:sysClr val="windowText" lastClr="000000"/>
                </a:solidFill>
                <a:latin typeface="微軟正黑體" panose="020B0604030504040204" pitchFamily="34" charset="-120"/>
                <a:ea typeface="微軟正黑體" panose="020B0604030504040204" pitchFamily="34" charset="-120"/>
              </a:rPr>
              <a:t>五年合計</a:t>
            </a:r>
            <a:r>
              <a:rPr lang="en-US" altLang="zh-TW"/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表1!$A$2</c:f>
              <c:strCache>
                <c:ptCount val="1"/>
                <c:pt idx="0">
                  <c:v>活動類別佔比(五年合計)</c:v>
                </c:pt>
              </c:strCache>
            </c:strRef>
          </c:tx>
          <c:explosion val="3"/>
          <c:dPt>
            <c:idx val="0"/>
            <c:bubble3D val="0"/>
            <c:explosion val="2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F92-4D8C-8B6D-3A7ADBB956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F92-4D8C-8B6D-3A7ADBB956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F92-4D8C-8B6D-3A7ADBB956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F92-4D8C-8B6D-3A7ADBB9561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F92-4D8C-8B6D-3A7ADBB9561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F92-4D8C-8B6D-3A7ADBB9561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F92-4D8C-8B6D-3A7ADBB9561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F92-4D8C-8B6D-3A7ADBB9561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F92-4D8C-8B6D-3A7ADBB95616}"/>
              </c:ext>
            </c:extLst>
          </c:dPt>
          <c:dLbls>
            <c:dLbl>
              <c:idx val="0"/>
              <c:layout>
                <c:manualLayout>
                  <c:x val="-6.7888662593348567E-3"/>
                  <c:y val="-5.0890585241730339E-2"/>
                </c:manualLayout>
              </c:layout>
              <c:tx>
                <c:rich>
                  <a:bodyPr/>
                  <a:lstStyle/>
                  <a:p>
                    <a:fld id="{BA6A3542-1934-4D62-9C76-ACE371030241}" type="CATEGORYNAME">
                      <a:rPr lang="zh-TW" altLang="en-US" b="1"/>
                      <a:pPr/>
                      <a:t>[類別名稱]</a:t>
                    </a:fld>
                    <a:r>
                      <a:rPr lang="zh-TW" altLang="en-US" b="1" baseline="0"/>
                      <a:t> </a:t>
                    </a:r>
                    <a:fld id="{9F93903A-3DD9-4B0D-B944-1357F74D6390}" type="PERCENTAGE">
                      <a:rPr lang="en-US" altLang="zh-TW" b="1" baseline="0"/>
                      <a:pPr/>
                      <a:t>[百分比]</a:t>
                    </a:fld>
                    <a:endParaRPr lang="zh-TW" altLang="en-US" b="1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F92-4D8C-8B6D-3A7ADBB95616}"/>
                </c:ext>
              </c:extLst>
            </c:dLbl>
            <c:dLbl>
              <c:idx val="1"/>
              <c:layout>
                <c:manualLayout>
                  <c:x val="0.14709210228558497"/>
                  <c:y val="-0.1406469760900142"/>
                </c:manualLayout>
              </c:layout>
              <c:tx>
                <c:rich>
                  <a:bodyPr/>
                  <a:lstStyle/>
                  <a:p>
                    <a:fld id="{69D80930-E445-4E98-BE67-88F1BEF28B4B}" type="CATEGORYNAME">
                      <a:rPr lang="zh-TW" altLang="en-US" b="1"/>
                      <a:pPr/>
                      <a:t>[類別名稱]</a:t>
                    </a:fld>
                    <a:r>
                      <a:rPr lang="zh-TW" altLang="en-US" b="1" baseline="0"/>
                      <a:t> </a:t>
                    </a:r>
                    <a:fld id="{2B33FA88-C250-4224-9E49-B1405B0F212F}" type="PERCENTAGE">
                      <a:rPr lang="en-US" altLang="zh-TW" b="1" baseline="0"/>
                      <a:pPr/>
                      <a:t>[百分比]</a:t>
                    </a:fld>
                    <a:endParaRPr lang="zh-TW" altLang="en-US" b="1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F92-4D8C-8B6D-3A7ADBB95616}"/>
                </c:ext>
              </c:extLst>
            </c:dLbl>
            <c:dLbl>
              <c:idx val="2"/>
              <c:layout>
                <c:manualLayout>
                  <c:x val="0.21724372029871011"/>
                  <c:y val="-8.0872011251758094E-2"/>
                </c:manualLayout>
              </c:layout>
              <c:tx>
                <c:rich>
                  <a:bodyPr/>
                  <a:lstStyle/>
                  <a:p>
                    <a:fld id="{BFB4F66E-5901-4C27-9BAE-DFFA33B0BE74}" type="CATEGORYNAME">
                      <a:rPr lang="zh-TW" altLang="en-US" b="1"/>
                      <a:pPr/>
                      <a:t>[類別名稱]</a:t>
                    </a:fld>
                    <a:r>
                      <a:rPr lang="zh-TW" altLang="en-US" b="1" baseline="0"/>
                      <a:t> </a:t>
                    </a:r>
                    <a:fld id="{A3734F84-6B1D-4DEA-8D1C-95A60030442C}" type="PERCENTAGE">
                      <a:rPr lang="en-US" altLang="zh-TW" b="1" baseline="0"/>
                      <a:pPr/>
                      <a:t>[百分比]</a:t>
                    </a:fld>
                    <a:endParaRPr lang="zh-TW" altLang="en-US" b="1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F92-4D8C-8B6D-3A7ADBB95616}"/>
                </c:ext>
              </c:extLst>
            </c:dLbl>
            <c:dLbl>
              <c:idx val="3"/>
              <c:layout>
                <c:manualLayout>
                  <c:x val="0.29644715999094812"/>
                  <c:y val="-1.4064697609001406E-2"/>
                </c:manualLayout>
              </c:layout>
              <c:tx>
                <c:rich>
                  <a:bodyPr/>
                  <a:lstStyle/>
                  <a:p>
                    <a:fld id="{F784F0C1-8ACA-489B-952A-CD50B746A5B5}" type="CATEGORYNAME">
                      <a:rPr lang="zh-TW" altLang="en-US" b="1"/>
                      <a:pPr/>
                      <a:t>[類別名稱]</a:t>
                    </a:fld>
                    <a:r>
                      <a:rPr lang="zh-TW" altLang="en-US" b="1" baseline="0"/>
                      <a:t> </a:t>
                    </a:r>
                    <a:fld id="{7BD5B26D-D401-4297-BE03-2EBC8E3DDFEC}" type="PERCENTAGE">
                      <a:rPr lang="en-US" altLang="zh-TW" b="1" baseline="0"/>
                      <a:pPr/>
                      <a:t>[百分比]</a:t>
                    </a:fld>
                    <a:endParaRPr lang="zh-TW" altLang="en-US" b="1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F92-4D8C-8B6D-3A7ADBB95616}"/>
                </c:ext>
              </c:extLst>
            </c:dLbl>
            <c:dLbl>
              <c:idx val="4"/>
              <c:layout>
                <c:manualLayout>
                  <c:x val="-2.0946436595497799E-2"/>
                  <c:y val="9.7339837935725964E-3"/>
                </c:manualLayout>
              </c:layout>
              <c:tx>
                <c:rich>
                  <a:bodyPr/>
                  <a:lstStyle/>
                  <a:p>
                    <a:fld id="{0DE8AA6A-6BF1-4DDB-98C0-7736806D42BA}" type="CATEGORYNAME">
                      <a:rPr lang="zh-TW" altLang="en-US" b="1"/>
                      <a:pPr/>
                      <a:t>[類別名稱]</a:t>
                    </a:fld>
                    <a:r>
                      <a:rPr lang="zh-TW" altLang="en-US" b="1" baseline="0"/>
                      <a:t> </a:t>
                    </a:r>
                    <a:fld id="{30B562B7-B988-497E-A455-F2C734E20752}" type="PERCENTAGE">
                      <a:rPr lang="en-US" altLang="zh-TW" b="1" baseline="0"/>
                      <a:pPr/>
                      <a:t>[百分比]</a:t>
                    </a:fld>
                    <a:endParaRPr lang="zh-TW" altLang="en-US" b="1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F92-4D8C-8B6D-3A7ADBB95616}"/>
                </c:ext>
              </c:extLst>
            </c:dLbl>
            <c:dLbl>
              <c:idx val="5"/>
              <c:layout>
                <c:manualLayout>
                  <c:x val="-0.21271780945915367"/>
                  <c:y val="1.0548523206751054E-2"/>
                </c:manualLayout>
              </c:layout>
              <c:tx>
                <c:rich>
                  <a:bodyPr/>
                  <a:lstStyle/>
                  <a:p>
                    <a:fld id="{6B81E798-FE74-469A-BCE4-BCBFAEE279FD}" type="CATEGORYNAME">
                      <a:rPr lang="zh-TW" altLang="en-US" b="1"/>
                      <a:pPr/>
                      <a:t>[類別名稱]</a:t>
                    </a:fld>
                    <a:r>
                      <a:rPr lang="zh-TW" altLang="en-US" b="1" baseline="0"/>
                      <a:t> </a:t>
                    </a:r>
                    <a:fld id="{C14945E0-D4EB-4B61-81FD-087B4C4A44A8}" type="PERCENTAGE">
                      <a:rPr lang="en-US" altLang="zh-TW" b="1" baseline="0"/>
                      <a:pPr/>
                      <a:t>[百分比]</a:t>
                    </a:fld>
                    <a:endParaRPr lang="zh-TW" altLang="en-US" b="1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F92-4D8C-8B6D-3A7ADBB95616}"/>
                </c:ext>
              </c:extLst>
            </c:dLbl>
            <c:dLbl>
              <c:idx val="6"/>
              <c:layout>
                <c:manualLayout>
                  <c:x val="0.19371178410066908"/>
                  <c:y val="6.6475401862633125E-3"/>
                </c:manualLayout>
              </c:layout>
              <c:tx>
                <c:rich>
                  <a:bodyPr/>
                  <a:lstStyle/>
                  <a:p>
                    <a:fld id="{54D6E636-122A-4A82-BE29-E35F1A8A6B40}" type="CATEGORYNAME">
                      <a:rPr lang="zh-TW" altLang="en-US" b="1"/>
                      <a:pPr/>
                      <a:t>[類別名稱]</a:t>
                    </a:fld>
                    <a:r>
                      <a:rPr lang="zh-TW" altLang="en-US" baseline="0"/>
                      <a:t> </a:t>
                    </a:r>
                    <a:fld id="{F9ACB567-8A15-4E43-A5AB-AEEC60C948C3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607821686628205"/>
                      <c:h val="6.257610504728540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9F92-4D8C-8B6D-3A7ADBB95616}"/>
                </c:ext>
              </c:extLst>
            </c:dLbl>
            <c:dLbl>
              <c:idx val="7"/>
              <c:layout>
                <c:manualLayout>
                  <c:x val="-0.31455080334917401"/>
                  <c:y val="-9.8452883263009841E-2"/>
                </c:manualLayout>
              </c:layout>
              <c:tx>
                <c:rich>
                  <a:bodyPr/>
                  <a:lstStyle/>
                  <a:p>
                    <a:fld id="{B3A55095-243F-4245-841D-DED50A5DD22C}" type="CATEGORYNAME">
                      <a:rPr lang="zh-TW" altLang="en-US" b="1"/>
                      <a:pPr/>
                      <a:t>[類別名稱]</a:t>
                    </a:fld>
                    <a:r>
                      <a:rPr lang="zh-TW" altLang="en-US" b="1" baseline="0"/>
                      <a:t> </a:t>
                    </a:r>
                    <a:fld id="{201D08F1-C56D-4EC5-B30D-71872D3F708F}" type="PERCENTAGE">
                      <a:rPr lang="en-US" altLang="zh-TW" b="1" baseline="0"/>
                      <a:pPr/>
                      <a:t>[百分比]</a:t>
                    </a:fld>
                    <a:endParaRPr lang="zh-TW" altLang="en-US" b="1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9F92-4D8C-8B6D-3A7ADBB95616}"/>
                </c:ext>
              </c:extLst>
            </c:dLbl>
            <c:dLbl>
              <c:idx val="8"/>
              <c:layout>
                <c:manualLayout>
                  <c:x val="-4.2996152975786378E-2"/>
                  <c:y val="-1.4064697609001472E-2"/>
                </c:manualLayout>
              </c:layout>
              <c:tx>
                <c:rich>
                  <a:bodyPr/>
                  <a:lstStyle/>
                  <a:p>
                    <a:fld id="{FE73A5B0-0385-42A6-82CD-0D5671BA28D2}" type="CATEGORYNAME">
                      <a:rPr lang="zh-TW" altLang="en-US" b="1"/>
                      <a:pPr/>
                      <a:t>[類別名稱]</a:t>
                    </a:fld>
                    <a:r>
                      <a:rPr lang="zh-TW" altLang="en-US" b="1" baseline="0"/>
                      <a:t> </a:t>
                    </a:r>
                    <a:fld id="{B01B84CB-DF15-471A-9D5C-4D7C48A35FC0}" type="PERCENTAGE">
                      <a:rPr lang="en-US" altLang="zh-TW" b="1" baseline="0"/>
                      <a:pPr/>
                      <a:t>[百分比]</a:t>
                    </a:fld>
                    <a:endParaRPr lang="zh-TW" altLang="en-US" b="1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9F92-4D8C-8B6D-3A7ADBB9561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微軟正黑體" panose="020B0604030504040204" pitchFamily="34" charset="-12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1"/>
            <c:showVal val="0"/>
            <c:showCatName val="1"/>
            <c:showSerName val="0"/>
            <c:showPercent val="1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(表1!$A$6:$A$14,表1!$A$16)</c:f>
              <c:strCache>
                <c:ptCount val="10"/>
                <c:pt idx="0">
                  <c:v>音樂類</c:v>
                </c:pt>
                <c:pt idx="1">
                  <c:v>舞蹈類</c:v>
                </c:pt>
                <c:pt idx="2">
                  <c:v>戲劇類</c:v>
                </c:pt>
                <c:pt idx="3">
                  <c:v>親子劇</c:v>
                </c:pt>
                <c:pt idx="4">
                  <c:v>親子樂</c:v>
                </c:pt>
                <c:pt idx="5">
                  <c:v>原民類</c:v>
                </c:pt>
                <c:pt idx="6">
                  <c:v>電影類</c:v>
                </c:pt>
                <c:pt idx="7">
                  <c:v>相聲</c:v>
                </c:pt>
                <c:pt idx="8">
                  <c:v>其他</c:v>
                </c:pt>
                <c:pt idx="9">
                  <c:v>註：自109年度起僅分類音樂類、舞蹈類、戲劇類及其他類</c:v>
                </c:pt>
              </c:strCache>
              <c:extLst/>
            </c:strRef>
          </c:cat>
          <c:val>
            <c:numRef>
              <c:f>表1!$H$6:$H$14</c:f>
              <c:numCache>
                <c:formatCode>0.0%</c:formatCode>
                <c:ptCount val="9"/>
                <c:pt idx="0">
                  <c:v>0.40799999999999997</c:v>
                </c:pt>
                <c:pt idx="1">
                  <c:v>2.1999999999999999E-2</c:v>
                </c:pt>
                <c:pt idx="2">
                  <c:v>5.0999999999999997E-2</c:v>
                </c:pt>
                <c:pt idx="3">
                  <c:v>1.4999999999999999E-2</c:v>
                </c:pt>
                <c:pt idx="4">
                  <c:v>4.0000000000000001E-3</c:v>
                </c:pt>
                <c:pt idx="5">
                  <c:v>4.0000000000000001E-3</c:v>
                </c:pt>
                <c:pt idx="6">
                  <c:v>3.0000000000000001E-3</c:v>
                </c:pt>
                <c:pt idx="7">
                  <c:v>8.9999999999999993E-3</c:v>
                </c:pt>
                <c:pt idx="8">
                  <c:v>0.48199999999999998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2-9F92-4D8C-8B6D-3A7ADBB95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表1!$C$2:$C$5</c15:sqref>
                        </c15:formulaRef>
                      </c:ext>
                    </c:extLst>
                    <c:strCache>
                      <c:ptCount val="4"/>
                      <c:pt idx="0">
                        <c:v>活動類別佔比(五年合計)</c:v>
                      </c:pt>
                      <c:pt idx="1">
                        <c:v>表1：各年度舉辦活動場次</c:v>
                      </c:pt>
                      <c:pt idx="2">
                        <c:v>舉辦活動場次</c:v>
                      </c:pt>
                      <c:pt idx="3">
                        <c:v>108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9F92-4D8C-8B6D-3A7ADBB9561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6-9F92-4D8C-8B6D-3A7ADBB9561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8-9F92-4D8C-8B6D-3A7ADBB9561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A-9F92-4D8C-8B6D-3A7ADBB95616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C-9F92-4D8C-8B6D-3A7ADBB95616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E-9F92-4D8C-8B6D-3A7ADBB95616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0-9F92-4D8C-8B6D-3A7ADBB95616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2-9F92-4D8C-8B6D-3A7ADBB95616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4-9F92-4D8C-8B6D-3A7ADBB95616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6-9F92-4D8C-8B6D-3A7ADBB95616}"/>
                    </c:ext>
                  </c:extLst>
                </c:dPt>
                <c:dLbls>
                  <c:spPr>
                    <a:solidFill>
                      <a:sysClr val="window" lastClr="FFFFFF"/>
                    </a:solidFill>
                    <a:ln>
                      <a:solidFill>
                        <a:sysClr val="windowText" lastClr="000000">
                          <a:lumMod val="25000"/>
                          <a:lumOff val="75000"/>
                        </a:sysClr>
                      </a:solidFill>
                    </a:ln>
                    <a:effectLst/>
                  </c:spPr>
                  <c:txPr>
                    <a:bodyPr rot="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out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0"/>
                  <c:extLst>
                    <c:ext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(表1!$A$6:$A$14,表1!$A$16)</c15:sqref>
                        </c15:formulaRef>
                      </c:ext>
                    </c:extLst>
                    <c:strCache>
                      <c:ptCount val="10"/>
                      <c:pt idx="0">
                        <c:v>音樂類</c:v>
                      </c:pt>
                      <c:pt idx="1">
                        <c:v>舞蹈類</c:v>
                      </c:pt>
                      <c:pt idx="2">
                        <c:v>戲劇類</c:v>
                      </c:pt>
                      <c:pt idx="3">
                        <c:v>親子劇</c:v>
                      </c:pt>
                      <c:pt idx="4">
                        <c:v>親子樂</c:v>
                      </c:pt>
                      <c:pt idx="5">
                        <c:v>原民類</c:v>
                      </c:pt>
                      <c:pt idx="6">
                        <c:v>電影類</c:v>
                      </c:pt>
                      <c:pt idx="7">
                        <c:v>相聲</c:v>
                      </c:pt>
                      <c:pt idx="8">
                        <c:v>其他</c:v>
                      </c:pt>
                      <c:pt idx="9">
                        <c:v>註：自109年度起僅分類音樂類、舞蹈類、戲劇類及其他類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(表1!$C$6:$C$14,表1!$C$16)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112</c:v>
                      </c:pt>
                      <c:pt idx="1">
                        <c:v>7</c:v>
                      </c:pt>
                      <c:pt idx="2">
                        <c:v>5</c:v>
                      </c:pt>
                      <c:pt idx="3">
                        <c:v>8</c:v>
                      </c:pt>
                      <c:pt idx="4">
                        <c:v>3</c:v>
                      </c:pt>
                      <c:pt idx="5">
                        <c:v>3</c:v>
                      </c:pt>
                      <c:pt idx="6">
                        <c:v>2</c:v>
                      </c:pt>
                      <c:pt idx="7">
                        <c:v>6</c:v>
                      </c:pt>
                      <c:pt idx="8">
                        <c:v>26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27-9F92-4D8C-8B6D-3A7ADBB95616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表1!$D$2:$D$5</c15:sqref>
                        </c15:formulaRef>
                      </c:ext>
                    </c:extLst>
                    <c:strCache>
                      <c:ptCount val="4"/>
                      <c:pt idx="0">
                        <c:v>活動類別佔比(五年合計)</c:v>
                      </c:pt>
                      <c:pt idx="1">
                        <c:v>表1：各年度舉辦活動場次</c:v>
                      </c:pt>
                      <c:pt idx="2">
                        <c:v>舉辦活動場次</c:v>
                      </c:pt>
                      <c:pt idx="3">
                        <c:v>109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9-9F92-4D8C-8B6D-3A7ADBB9561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B-9F92-4D8C-8B6D-3A7ADBB9561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D-9F92-4D8C-8B6D-3A7ADBB9561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F-9F92-4D8C-8B6D-3A7ADBB95616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1-9F92-4D8C-8B6D-3A7ADBB95616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3-9F92-4D8C-8B6D-3A7ADBB95616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5-9F92-4D8C-8B6D-3A7ADBB95616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7-9F92-4D8C-8B6D-3A7ADBB95616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9-9F92-4D8C-8B6D-3A7ADBB95616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B-9F92-4D8C-8B6D-3A7ADBB95616}"/>
                    </c:ext>
                  </c:extLst>
                </c:dPt>
                <c:dLbls>
                  <c:spPr>
                    <a:solidFill>
                      <a:sysClr val="window" lastClr="FFFFFF"/>
                    </a:solidFill>
                    <a:ln>
                      <a:solidFill>
                        <a:sysClr val="windowText" lastClr="000000">
                          <a:lumMod val="25000"/>
                          <a:lumOff val="75000"/>
                        </a:sysClr>
                      </a:solidFill>
                    </a:ln>
                    <a:effectLst/>
                  </c:spPr>
                  <c:txPr>
                    <a:bodyPr rot="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out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(表1!$A$6:$A$14,表1!$A$16)</c15:sqref>
                        </c15:formulaRef>
                      </c:ext>
                    </c:extLst>
                    <c:strCache>
                      <c:ptCount val="10"/>
                      <c:pt idx="0">
                        <c:v>音樂類</c:v>
                      </c:pt>
                      <c:pt idx="1">
                        <c:v>舞蹈類</c:v>
                      </c:pt>
                      <c:pt idx="2">
                        <c:v>戲劇類</c:v>
                      </c:pt>
                      <c:pt idx="3">
                        <c:v>親子劇</c:v>
                      </c:pt>
                      <c:pt idx="4">
                        <c:v>親子樂</c:v>
                      </c:pt>
                      <c:pt idx="5">
                        <c:v>原民類</c:v>
                      </c:pt>
                      <c:pt idx="6">
                        <c:v>電影類</c:v>
                      </c:pt>
                      <c:pt idx="7">
                        <c:v>相聲</c:v>
                      </c:pt>
                      <c:pt idx="8">
                        <c:v>其他</c:v>
                      </c:pt>
                      <c:pt idx="9">
                        <c:v>註：自109年度起僅分類音樂類、舞蹈類、戲劇類及其他類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(表1!$D$6:$D$14,表1!$D$16)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73</c:v>
                      </c:pt>
                      <c:pt idx="1">
                        <c:v>4</c:v>
                      </c:pt>
                      <c:pt idx="2">
                        <c:v>13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108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C-9F92-4D8C-8B6D-3A7ADBB95616}"/>
                  </c:ext>
                </c:extLst>
              </c15:ser>
            </c15:filteredPieSeries>
            <c15:filteredPi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表1!$E$2:$E$5</c15:sqref>
                        </c15:formulaRef>
                      </c:ext>
                    </c:extLst>
                    <c:strCache>
                      <c:ptCount val="4"/>
                      <c:pt idx="0">
                        <c:v>活動類別佔比(五年合計)</c:v>
                      </c:pt>
                      <c:pt idx="1">
                        <c:v>表1：各年度舉辦活動場次</c:v>
                      </c:pt>
                      <c:pt idx="2">
                        <c:v>舉辦活動場次</c:v>
                      </c:pt>
                      <c:pt idx="3">
                        <c:v>110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E-9F92-4D8C-8B6D-3A7ADBB9561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0-9F92-4D8C-8B6D-3A7ADBB9561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2-9F92-4D8C-8B6D-3A7ADBB9561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4-9F92-4D8C-8B6D-3A7ADBB95616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6-9F92-4D8C-8B6D-3A7ADBB95616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8-9F92-4D8C-8B6D-3A7ADBB95616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A-9F92-4D8C-8B6D-3A7ADBB95616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C-9F92-4D8C-8B6D-3A7ADBB95616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E-9F92-4D8C-8B6D-3A7ADBB95616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0-9F92-4D8C-8B6D-3A7ADBB95616}"/>
                    </c:ext>
                  </c:extLst>
                </c:dPt>
                <c:dLbls>
                  <c:spPr>
                    <a:solidFill>
                      <a:sysClr val="window" lastClr="FFFFFF"/>
                    </a:solidFill>
                    <a:ln>
                      <a:solidFill>
                        <a:sysClr val="windowText" lastClr="000000">
                          <a:lumMod val="25000"/>
                          <a:lumOff val="75000"/>
                        </a:sysClr>
                      </a:solidFill>
                    </a:ln>
                    <a:effectLst/>
                  </c:spPr>
                  <c:txPr>
                    <a:bodyPr rot="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out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(表1!$A$6:$A$14,表1!$A$16)</c15:sqref>
                        </c15:formulaRef>
                      </c:ext>
                    </c:extLst>
                    <c:strCache>
                      <c:ptCount val="10"/>
                      <c:pt idx="0">
                        <c:v>音樂類</c:v>
                      </c:pt>
                      <c:pt idx="1">
                        <c:v>舞蹈類</c:v>
                      </c:pt>
                      <c:pt idx="2">
                        <c:v>戲劇類</c:v>
                      </c:pt>
                      <c:pt idx="3">
                        <c:v>親子劇</c:v>
                      </c:pt>
                      <c:pt idx="4">
                        <c:v>親子樂</c:v>
                      </c:pt>
                      <c:pt idx="5">
                        <c:v>原民類</c:v>
                      </c:pt>
                      <c:pt idx="6">
                        <c:v>電影類</c:v>
                      </c:pt>
                      <c:pt idx="7">
                        <c:v>相聲</c:v>
                      </c:pt>
                      <c:pt idx="8">
                        <c:v>其他</c:v>
                      </c:pt>
                      <c:pt idx="9">
                        <c:v>註：自109年度起僅分類音樂類、舞蹈類、戲劇類及其他類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(表1!$E$6:$E$14,表1!$E$16)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75</c:v>
                      </c:pt>
                      <c:pt idx="1">
                        <c:v>1</c:v>
                      </c:pt>
                      <c:pt idx="2">
                        <c:v>9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190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51-9F92-4D8C-8B6D-3A7ADBB95616}"/>
                  </c:ext>
                </c:extLst>
              </c15:ser>
            </c15:filteredPieSeries>
            <c15:filteredPi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表1!$F$2:$F$5</c15:sqref>
                        </c15:formulaRef>
                      </c:ext>
                    </c:extLst>
                    <c:strCache>
                      <c:ptCount val="4"/>
                      <c:pt idx="0">
                        <c:v>活動類別佔比(五年合計)</c:v>
                      </c:pt>
                      <c:pt idx="1">
                        <c:v>表1：各年度舉辦活動場次</c:v>
                      </c:pt>
                      <c:pt idx="2">
                        <c:v>舉辦活動場次</c:v>
                      </c:pt>
                      <c:pt idx="3">
                        <c:v>111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3-9F92-4D8C-8B6D-3A7ADBB9561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5-9F92-4D8C-8B6D-3A7ADBB9561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7-9F92-4D8C-8B6D-3A7ADBB9561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9-9F92-4D8C-8B6D-3A7ADBB95616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B-9F92-4D8C-8B6D-3A7ADBB95616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D-9F92-4D8C-8B6D-3A7ADBB95616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F-9F92-4D8C-8B6D-3A7ADBB95616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1-9F92-4D8C-8B6D-3A7ADBB95616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3-9F92-4D8C-8B6D-3A7ADBB95616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5-9F92-4D8C-8B6D-3A7ADBB95616}"/>
                    </c:ext>
                  </c:extLst>
                </c:dPt>
                <c:dLbls>
                  <c:spPr>
                    <a:solidFill>
                      <a:sysClr val="window" lastClr="FFFFFF"/>
                    </a:solidFill>
                    <a:ln>
                      <a:solidFill>
                        <a:sysClr val="windowText" lastClr="000000">
                          <a:lumMod val="25000"/>
                          <a:lumOff val="75000"/>
                        </a:sysClr>
                      </a:solidFill>
                    </a:ln>
                    <a:effectLst/>
                  </c:spPr>
                  <c:txPr>
                    <a:bodyPr rot="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out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(表1!$A$6:$A$14,表1!$A$16)</c15:sqref>
                        </c15:formulaRef>
                      </c:ext>
                    </c:extLst>
                    <c:strCache>
                      <c:ptCount val="10"/>
                      <c:pt idx="0">
                        <c:v>音樂類</c:v>
                      </c:pt>
                      <c:pt idx="1">
                        <c:v>舞蹈類</c:v>
                      </c:pt>
                      <c:pt idx="2">
                        <c:v>戲劇類</c:v>
                      </c:pt>
                      <c:pt idx="3">
                        <c:v>親子劇</c:v>
                      </c:pt>
                      <c:pt idx="4">
                        <c:v>親子樂</c:v>
                      </c:pt>
                      <c:pt idx="5">
                        <c:v>原民類</c:v>
                      </c:pt>
                      <c:pt idx="6">
                        <c:v>電影類</c:v>
                      </c:pt>
                      <c:pt idx="7">
                        <c:v>相聲</c:v>
                      </c:pt>
                      <c:pt idx="8">
                        <c:v>其他</c:v>
                      </c:pt>
                      <c:pt idx="9">
                        <c:v>註：自109年度起僅分類音樂類、舞蹈類、戲劇類及其他類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(表1!$F$6:$F$14,表1!$F$16)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125</c:v>
                      </c:pt>
                      <c:pt idx="1">
                        <c:v>9</c:v>
                      </c:pt>
                      <c:pt idx="2">
                        <c:v>27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190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66-9F92-4D8C-8B6D-3A7ADBB95616}"/>
                  </c:ext>
                </c:extLst>
              </c15:ser>
            </c15:filteredPieSeries>
            <c15:filteredPi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表1!$G$2:$G$5</c15:sqref>
                        </c15:formulaRef>
                      </c:ext>
                    </c:extLst>
                    <c:strCache>
                      <c:ptCount val="4"/>
                      <c:pt idx="0">
                        <c:v>活動類別佔比(五年合計)</c:v>
                      </c:pt>
                      <c:pt idx="1">
                        <c:v>表1：各年度舉辦活動場次</c:v>
                      </c:pt>
                      <c:pt idx="2">
                        <c:v>舉辦活動場次</c:v>
                      </c:pt>
                      <c:pt idx="3">
                        <c:v>場次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8-9F92-4D8C-8B6D-3A7ADBB9561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A-9F92-4D8C-8B6D-3A7ADBB9561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C-9F92-4D8C-8B6D-3A7ADBB9561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E-9F92-4D8C-8B6D-3A7ADBB95616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0-9F92-4D8C-8B6D-3A7ADBB95616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2-9F92-4D8C-8B6D-3A7ADBB95616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4-9F92-4D8C-8B6D-3A7ADBB95616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6-9F92-4D8C-8B6D-3A7ADBB95616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8-9F92-4D8C-8B6D-3A7ADBB95616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A-9F92-4D8C-8B6D-3A7ADBB95616}"/>
                    </c:ext>
                  </c:extLst>
                </c:dPt>
                <c:dLbls>
                  <c:spPr>
                    <a:solidFill>
                      <a:sysClr val="window" lastClr="FFFFFF"/>
                    </a:solidFill>
                    <a:ln>
                      <a:solidFill>
                        <a:sysClr val="windowText" lastClr="000000">
                          <a:lumMod val="25000"/>
                          <a:lumOff val="75000"/>
                        </a:sysClr>
                      </a:solidFill>
                    </a:ln>
                    <a:effectLst/>
                  </c:spPr>
                  <c:txPr>
                    <a:bodyPr rot="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out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(表1!$A$6:$A$14,表1!$A$16)</c15:sqref>
                        </c15:formulaRef>
                      </c:ext>
                    </c:extLst>
                    <c:strCache>
                      <c:ptCount val="10"/>
                      <c:pt idx="0">
                        <c:v>音樂類</c:v>
                      </c:pt>
                      <c:pt idx="1">
                        <c:v>舞蹈類</c:v>
                      </c:pt>
                      <c:pt idx="2">
                        <c:v>戲劇類</c:v>
                      </c:pt>
                      <c:pt idx="3">
                        <c:v>親子劇</c:v>
                      </c:pt>
                      <c:pt idx="4">
                        <c:v>親子樂</c:v>
                      </c:pt>
                      <c:pt idx="5">
                        <c:v>原民類</c:v>
                      </c:pt>
                      <c:pt idx="6">
                        <c:v>電影類</c:v>
                      </c:pt>
                      <c:pt idx="7">
                        <c:v>相聲</c:v>
                      </c:pt>
                      <c:pt idx="8">
                        <c:v>其他</c:v>
                      </c:pt>
                      <c:pt idx="9">
                        <c:v>註：自109年度起僅分類音樂類、舞蹈類、戲劇類及其他類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(表1!$G$6:$G$14,表1!$G$16)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474</c:v>
                      </c:pt>
                      <c:pt idx="1">
                        <c:v>26</c:v>
                      </c:pt>
                      <c:pt idx="2">
                        <c:v>59</c:v>
                      </c:pt>
                      <c:pt idx="3">
                        <c:v>18</c:v>
                      </c:pt>
                      <c:pt idx="4">
                        <c:v>5</c:v>
                      </c:pt>
                      <c:pt idx="5">
                        <c:v>5</c:v>
                      </c:pt>
                      <c:pt idx="6">
                        <c:v>4</c:v>
                      </c:pt>
                      <c:pt idx="7">
                        <c:v>11</c:v>
                      </c:pt>
                      <c:pt idx="8">
                        <c:v>561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7B-9F92-4D8C-8B6D-3A7ADBB95616}"/>
                  </c:ext>
                </c:extLst>
              </c15:ser>
            </c15:filteredPieSeries>
            <c15:filteredPi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表1!$H$2:$H$5</c15:sqref>
                        </c15:formulaRef>
                      </c:ext>
                    </c:extLst>
                    <c:strCache>
                      <c:ptCount val="4"/>
                      <c:pt idx="0">
                        <c:v>活動類別佔比(五年合計)</c:v>
                      </c:pt>
                      <c:pt idx="1">
                        <c:v>表1：各年度舉辦活動場次</c:v>
                      </c:pt>
                      <c:pt idx="2">
                        <c:v>舉辦活動場次</c:v>
                      </c:pt>
                      <c:pt idx="3">
                        <c:v>百分比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D-9F92-4D8C-8B6D-3A7ADBB9561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F-9F92-4D8C-8B6D-3A7ADBB9561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1-9F92-4D8C-8B6D-3A7ADBB9561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3-9F92-4D8C-8B6D-3A7ADBB95616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5-9F92-4D8C-8B6D-3A7ADBB95616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7-9F92-4D8C-8B6D-3A7ADBB95616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9-9F92-4D8C-8B6D-3A7ADBB95616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B-9F92-4D8C-8B6D-3A7ADBB95616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D-9F92-4D8C-8B6D-3A7ADBB95616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F-9F92-4D8C-8B6D-3A7ADBB95616}"/>
                    </c:ext>
                  </c:extLst>
                </c:dPt>
                <c:dLbls>
                  <c:spPr>
                    <a:solidFill>
                      <a:sysClr val="window" lastClr="FFFFFF"/>
                    </a:solidFill>
                    <a:ln>
                      <a:solidFill>
                        <a:sysClr val="windowText" lastClr="000000">
                          <a:lumMod val="25000"/>
                          <a:lumOff val="75000"/>
                        </a:sysClr>
                      </a:solidFill>
                    </a:ln>
                    <a:effectLst/>
                  </c:spPr>
                  <c:txPr>
                    <a:bodyPr rot="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out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(表1!$A$6:$A$14,表1!$A$16)</c15:sqref>
                        </c15:formulaRef>
                      </c:ext>
                    </c:extLst>
                    <c:strCache>
                      <c:ptCount val="10"/>
                      <c:pt idx="0">
                        <c:v>音樂類</c:v>
                      </c:pt>
                      <c:pt idx="1">
                        <c:v>舞蹈類</c:v>
                      </c:pt>
                      <c:pt idx="2">
                        <c:v>戲劇類</c:v>
                      </c:pt>
                      <c:pt idx="3">
                        <c:v>親子劇</c:v>
                      </c:pt>
                      <c:pt idx="4">
                        <c:v>親子樂</c:v>
                      </c:pt>
                      <c:pt idx="5">
                        <c:v>原民類</c:v>
                      </c:pt>
                      <c:pt idx="6">
                        <c:v>電影類</c:v>
                      </c:pt>
                      <c:pt idx="7">
                        <c:v>相聲</c:v>
                      </c:pt>
                      <c:pt idx="8">
                        <c:v>其他</c:v>
                      </c:pt>
                      <c:pt idx="9">
                        <c:v>註：自109年度起僅分類音樂類、舞蹈類、戲劇類及其他類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(表1!$H$6:$H$14,表1!$H$16)</c15:sqref>
                        </c15:formulaRef>
                      </c:ext>
                    </c:extLst>
                    <c:numCache>
                      <c:formatCode>0.0%</c:formatCode>
                      <c:ptCount val="10"/>
                      <c:pt idx="0">
                        <c:v>0.40799999999999997</c:v>
                      </c:pt>
                      <c:pt idx="1">
                        <c:v>2.1999999999999999E-2</c:v>
                      </c:pt>
                      <c:pt idx="2">
                        <c:v>5.0999999999999997E-2</c:v>
                      </c:pt>
                      <c:pt idx="3">
                        <c:v>1.4999999999999999E-2</c:v>
                      </c:pt>
                      <c:pt idx="4">
                        <c:v>4.0000000000000001E-3</c:v>
                      </c:pt>
                      <c:pt idx="5">
                        <c:v>4.0000000000000001E-3</c:v>
                      </c:pt>
                      <c:pt idx="6">
                        <c:v>3.0000000000000001E-3</c:v>
                      </c:pt>
                      <c:pt idx="7">
                        <c:v>8.9999999999999993E-3</c:v>
                      </c:pt>
                      <c:pt idx="8">
                        <c:v>0.48199999999999998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90-9F92-4D8C-8B6D-3A7ADBB95616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ysClr val="window" lastClr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0.7051</cdr:x>
      <cdr:y>0.81628</cdr:y>
    </cdr:from>
    <cdr:to>
      <cdr:x>0.96863</cdr:x>
      <cdr:y>0.96744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5C596157-0829-D56B-7CF1-387F536C4AF3}"/>
            </a:ext>
          </a:extLst>
        </cdr:cNvPr>
        <cdr:cNvSpPr txBox="1"/>
      </cdr:nvSpPr>
      <cdr:spPr>
        <a:xfrm xmlns:a="http://schemas.openxmlformats.org/drawingml/2006/main">
          <a:off x="3425190" y="2674620"/>
          <a:ext cx="128016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0.73647</cdr:x>
      <cdr:y>0.73953</cdr:y>
    </cdr:from>
    <cdr:to>
      <cdr:x>0.98588</cdr:x>
      <cdr:y>0.96512</cdr:y>
    </cdr:to>
    <cdr:sp macro="" textlink="">
      <cdr:nvSpPr>
        <cdr:cNvPr id="3" name="文字方塊 2">
          <a:extLst xmlns:a="http://schemas.openxmlformats.org/drawingml/2006/main">
            <a:ext uri="{FF2B5EF4-FFF2-40B4-BE49-F238E27FC236}">
              <a16:creationId xmlns:a16="http://schemas.microsoft.com/office/drawing/2014/main" id="{353738A8-4FF5-C32D-3393-5ECA01C18F87}"/>
            </a:ext>
          </a:extLst>
        </cdr:cNvPr>
        <cdr:cNvSpPr txBox="1"/>
      </cdr:nvSpPr>
      <cdr:spPr>
        <a:xfrm xmlns:a="http://schemas.openxmlformats.org/drawingml/2006/main">
          <a:off x="3577590" y="2423160"/>
          <a:ext cx="1211580" cy="7391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0.77569</cdr:x>
      <cdr:y>0.81395</cdr:y>
    </cdr:from>
    <cdr:to>
      <cdr:x>0.96235</cdr:x>
      <cdr:y>0.9814</cdr:y>
    </cdr:to>
    <cdr:sp macro="" textlink="">
      <cdr:nvSpPr>
        <cdr:cNvPr id="4" name="文字方塊 3">
          <a:extLst xmlns:a="http://schemas.openxmlformats.org/drawingml/2006/main">
            <a:ext uri="{FF2B5EF4-FFF2-40B4-BE49-F238E27FC236}">
              <a16:creationId xmlns:a16="http://schemas.microsoft.com/office/drawing/2014/main" id="{C4236A9C-1B25-5CE2-8496-D1413798F4E9}"/>
            </a:ext>
          </a:extLst>
        </cdr:cNvPr>
        <cdr:cNvSpPr txBox="1"/>
      </cdr:nvSpPr>
      <cdr:spPr>
        <a:xfrm xmlns:a="http://schemas.openxmlformats.org/drawingml/2006/main">
          <a:off x="3768090" y="2667000"/>
          <a:ext cx="906780" cy="5486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0.0183</cdr:x>
      <cdr:y>0.15366</cdr:y>
    </cdr:from>
    <cdr:to>
      <cdr:x>0.34048</cdr:x>
      <cdr:y>0.26942</cdr:y>
    </cdr:to>
    <cdr:sp macro="" textlink="">
      <cdr:nvSpPr>
        <cdr:cNvPr id="5" name="文字方塊 5">
          <a:extLst xmlns:a="http://schemas.openxmlformats.org/drawingml/2006/main">
            <a:ext uri="{FF2B5EF4-FFF2-40B4-BE49-F238E27FC236}">
              <a16:creationId xmlns:a16="http://schemas.microsoft.com/office/drawing/2014/main" id="{D616561F-1539-3032-4AB8-A68CDEE54422}"/>
            </a:ext>
          </a:extLst>
        </cdr:cNvPr>
        <cdr:cNvSpPr txBox="1"/>
      </cdr:nvSpPr>
      <cdr:spPr>
        <a:xfrm xmlns:a="http://schemas.openxmlformats.org/drawingml/2006/main">
          <a:off x="96520" y="576580"/>
          <a:ext cx="1699260" cy="4343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altLang="en-US" sz="900" b="1"/>
            <a:t>註：自</a:t>
          </a:r>
          <a:r>
            <a:rPr lang="en-US" altLang="zh-TW" sz="900" b="1"/>
            <a:t>109</a:t>
          </a:r>
          <a:r>
            <a:rPr lang="zh-TW" altLang="en-US" sz="900" b="1"/>
            <a:t>年度起僅分類音樂類、舞蹈類、戲劇類及其他類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98B2-C940-49D9-8570-3DE0BFFE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翁筱婷</dc:creator>
  <cp:lastModifiedBy>羅詩婷</cp:lastModifiedBy>
  <cp:revision>5</cp:revision>
  <cp:lastPrinted>2023-07-12T07:42:00Z</cp:lastPrinted>
  <dcterms:created xsi:type="dcterms:W3CDTF">2023-07-12T01:58:00Z</dcterms:created>
  <dcterms:modified xsi:type="dcterms:W3CDTF">2023-07-12T07:56:00Z</dcterms:modified>
</cp:coreProperties>
</file>