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68" w:rsidRPr="00166120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,Bold" w:hint="eastAsia"/>
          <w:b/>
          <w:bCs/>
          <w:kern w:val="0"/>
          <w:sz w:val="72"/>
          <w:szCs w:val="72"/>
        </w:rPr>
        <w:t>苗栗縣統計通報</w:t>
      </w:r>
    </w:p>
    <w:p w:rsidR="00226F68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:rsidR="00226F68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:rsidR="00226F68" w:rsidRPr="008C4E50" w:rsidRDefault="00226F68" w:rsidP="00226F6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80"/>
          <w:szCs w:val="80"/>
        </w:rPr>
      </w:pPr>
    </w:p>
    <w:p w:rsidR="00226F68" w:rsidRPr="00DB7652" w:rsidRDefault="00F03A41" w:rsidP="00DB7652">
      <w:pPr>
        <w:jc w:val="center"/>
        <w:rPr>
          <w:rFonts w:ascii="標楷體" w:eastAsia="標楷體" w:hAnsi="標楷體" w:cs="DFKaiShu-SB-Estd-BF"/>
          <w:kern w:val="0"/>
          <w:sz w:val="66"/>
          <w:szCs w:val="66"/>
        </w:rPr>
      </w:pPr>
      <w:proofErr w:type="gramStart"/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苗北藝文</w:t>
      </w:r>
      <w:proofErr w:type="gramEnd"/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中心10</w:t>
      </w:r>
      <w:r w:rsidR="00561BFB">
        <w:rPr>
          <w:rFonts w:ascii="標楷體" w:eastAsia="標楷體" w:hAnsi="標楷體" w:cs="DFKaiShu-SB-Estd-BF" w:hint="eastAsia"/>
          <w:kern w:val="0"/>
          <w:sz w:val="66"/>
          <w:szCs w:val="66"/>
        </w:rPr>
        <w:t>5</w:t>
      </w:r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年~10</w:t>
      </w:r>
      <w:r w:rsidR="00561BFB">
        <w:rPr>
          <w:rFonts w:ascii="標楷體" w:eastAsia="標楷體" w:hAnsi="標楷體" w:cs="DFKaiShu-SB-Estd-BF" w:hint="eastAsia"/>
          <w:kern w:val="0"/>
          <w:sz w:val="66"/>
          <w:szCs w:val="66"/>
        </w:rPr>
        <w:t>9</w:t>
      </w:r>
      <w:r w:rsidR="00DB7652"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年</w:t>
      </w:r>
      <w:r w:rsidRPr="00DB7652">
        <w:rPr>
          <w:rFonts w:ascii="標楷體" w:eastAsia="標楷體" w:hAnsi="標楷體" w:cs="DFKaiShu-SB-Estd-BF" w:hint="eastAsia"/>
          <w:kern w:val="0"/>
          <w:sz w:val="66"/>
          <w:szCs w:val="66"/>
        </w:rPr>
        <w:t>演出類型、場次、人次分析</w:t>
      </w:r>
    </w:p>
    <w:p w:rsidR="00226F68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:rsidR="00226F68" w:rsidRPr="008C4E50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:rsidR="00226F68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:rsidR="00226F68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:rsidR="00226F68" w:rsidRPr="008C4E50" w:rsidRDefault="00226F68" w:rsidP="00226F68">
      <w:pPr>
        <w:rPr>
          <w:rFonts w:ascii="標楷體" w:eastAsia="標楷體" w:hAnsi="標楷體" w:cs="DFKaiShu-SB-Estd-BF"/>
          <w:kern w:val="0"/>
          <w:sz w:val="80"/>
          <w:szCs w:val="80"/>
        </w:rPr>
      </w:pPr>
    </w:p>
    <w:p w:rsidR="00226F68" w:rsidRPr="00166120" w:rsidRDefault="00226F68" w:rsidP="00226F68">
      <w:pPr>
        <w:jc w:val="center"/>
        <w:rPr>
          <w:rFonts w:ascii="標楷體" w:eastAsia="標楷體" w:hAnsi="標楷體" w:cs="DFKaiShu-SB-Estd-BF"/>
          <w:b/>
          <w:kern w:val="0"/>
          <w:sz w:val="72"/>
          <w:szCs w:val="72"/>
        </w:rPr>
      </w:pPr>
      <w:r w:rsidRPr="00166120">
        <w:rPr>
          <w:rFonts w:ascii="標楷體" w:eastAsia="標楷體" w:hAnsi="標楷體" w:cs="DFKaiShu-SB-Estd-BF" w:hint="eastAsia"/>
          <w:b/>
          <w:kern w:val="0"/>
          <w:sz w:val="72"/>
          <w:szCs w:val="72"/>
        </w:rPr>
        <w:t>苗栗縣政府文化觀光局</w:t>
      </w:r>
    </w:p>
    <w:p w:rsidR="00A95A1E" w:rsidRDefault="00A95A1E"/>
    <w:p w:rsidR="00226F68" w:rsidRDefault="00226F68"/>
    <w:p w:rsidR="00226F68" w:rsidRPr="00DB7652" w:rsidRDefault="00226F68" w:rsidP="00226F6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36"/>
          <w:szCs w:val="28"/>
        </w:rPr>
      </w:pPr>
      <w:r w:rsidRPr="00DB7652">
        <w:rPr>
          <w:rFonts w:ascii="標楷體" w:eastAsia="標楷體" w:hAnsi="標楷體" w:cs="DFKaiShu-SB-Estd-BF,Bold" w:hint="eastAsia"/>
          <w:b/>
          <w:bCs/>
          <w:kern w:val="0"/>
          <w:sz w:val="36"/>
          <w:szCs w:val="28"/>
        </w:rPr>
        <w:lastRenderedPageBreak/>
        <w:t>目錄</w:t>
      </w:r>
    </w:p>
    <w:p w:rsidR="00226F68" w:rsidRPr="00DB7652" w:rsidRDefault="00AA596C" w:rsidP="00226F6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壹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、前言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</w:t>
      </w:r>
      <w:r w:rsid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..................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 w:rsid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226F68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3</w:t>
      </w:r>
    </w:p>
    <w:p w:rsidR="00D4507B" w:rsidRPr="00DB7652" w:rsidRDefault="00AA596C" w:rsidP="00226F68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貳</w:t>
      </w:r>
      <w:r w:rsidR="00226F68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、</w:t>
      </w:r>
      <w:proofErr w:type="gramStart"/>
      <w:r w:rsidR="00D4507B" w:rsidRPr="00DB7652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苗北藝文</w:t>
      </w:r>
      <w:proofErr w:type="gramEnd"/>
      <w:r w:rsidR="00D4507B" w:rsidRPr="00DB7652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中心</w:t>
      </w:r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展演活動統計圖表</w:t>
      </w:r>
      <w:r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及說明</w:t>
      </w:r>
      <w:r w:rsidR="00546ECA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</w:t>
      </w:r>
      <w:r w:rsidR="00546ECA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546ECA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="00546ECA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546EC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4</w:t>
      </w:r>
    </w:p>
    <w:p w:rsidR="00854A67" w:rsidRPr="00DB7652" w:rsidRDefault="00AA596C" w:rsidP="00AA596C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 xml:space="preserve">   一、</w:t>
      </w:r>
      <w:r w:rsidRPr="00AA596C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活動舉辦場次</w:t>
      </w:r>
      <w:r w:rsidR="00546ECA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..............</w:t>
      </w:r>
      <w:r w:rsidR="00546ECA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 w:rsidR="00546ECA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="00546ECA"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="00546ECA"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546EC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4</w:t>
      </w:r>
    </w:p>
    <w:p w:rsidR="00546ECA" w:rsidRPr="00DB7652" w:rsidRDefault="00546ECA" w:rsidP="00546ECA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 xml:space="preserve">   二、</w:t>
      </w:r>
      <w:r w:rsidRPr="00546EC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展演入場方式</w:t>
      </w:r>
      <w:r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及入場聆賞人次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35262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8</w:t>
      </w:r>
    </w:p>
    <w:p w:rsidR="00546ECA" w:rsidRPr="00546ECA" w:rsidRDefault="00546ECA" w:rsidP="00546ECA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</w:pPr>
      <w:r w:rsidRPr="00546EC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 xml:space="preserve">   三、結論與建議</w:t>
      </w:r>
      <w:r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................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..........</w:t>
      </w:r>
      <w:r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</w:t>
      </w:r>
      <w:r w:rsidRPr="00DB7652">
        <w:rPr>
          <w:rFonts w:ascii="標楷體" w:eastAsia="標楷體" w:hAnsi="標楷體" w:cs="DFKaiShu-SB-Estd-BF,Bold"/>
          <w:b/>
          <w:bCs/>
          <w:color w:val="000000"/>
          <w:kern w:val="0"/>
          <w:sz w:val="32"/>
          <w:szCs w:val="28"/>
        </w:rPr>
        <w:t>..</w:t>
      </w:r>
      <w:r w:rsidRPr="00DB765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....</w:t>
      </w:r>
      <w:r w:rsidR="00352622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1</w:t>
      </w:r>
      <w:r w:rsidR="00CA58BA">
        <w:rPr>
          <w:rFonts w:ascii="標楷體" w:eastAsia="標楷體" w:hAnsi="標楷體" w:cs="DFKaiShu-SB-Estd-BF,Bold" w:hint="eastAsia"/>
          <w:b/>
          <w:bCs/>
          <w:color w:val="000000"/>
          <w:kern w:val="0"/>
          <w:sz w:val="32"/>
          <w:szCs w:val="28"/>
        </w:rPr>
        <w:t>4</w:t>
      </w:r>
    </w:p>
    <w:p w:rsidR="00226F68" w:rsidRDefault="00226F68"/>
    <w:p w:rsidR="00226F68" w:rsidRDefault="00226F68"/>
    <w:p w:rsidR="00226F68" w:rsidRDefault="00226F68"/>
    <w:p w:rsidR="00226F68" w:rsidRDefault="00226F68"/>
    <w:p w:rsidR="00226F68" w:rsidRDefault="00226F68"/>
    <w:p w:rsidR="00226F68" w:rsidRDefault="00226F68"/>
    <w:p w:rsidR="00226F68" w:rsidRPr="00546ECA" w:rsidRDefault="00226F68"/>
    <w:p w:rsidR="00226F68" w:rsidRDefault="00226F68"/>
    <w:p w:rsidR="00226F68" w:rsidRDefault="00226F68"/>
    <w:p w:rsidR="00226F68" w:rsidRDefault="00226F68"/>
    <w:p w:rsidR="00226F68" w:rsidRDefault="00226F68"/>
    <w:p w:rsidR="00226F68" w:rsidRDefault="00226F68"/>
    <w:p w:rsidR="00226F68" w:rsidRDefault="00226F68"/>
    <w:p w:rsidR="00226F68" w:rsidRDefault="00226F68"/>
    <w:p w:rsidR="00226F68" w:rsidRDefault="00226F68"/>
    <w:p w:rsidR="00226F68" w:rsidRDefault="00226F68"/>
    <w:p w:rsidR="00226F68" w:rsidRDefault="00226F68"/>
    <w:p w:rsidR="00226F68" w:rsidRDefault="00226F68"/>
    <w:p w:rsidR="00226F68" w:rsidRDefault="00226F68"/>
    <w:p w:rsidR="00546ECA" w:rsidRDefault="00546ECA"/>
    <w:p w:rsidR="00546ECA" w:rsidRDefault="00546ECA"/>
    <w:p w:rsidR="00546ECA" w:rsidRDefault="00546ECA"/>
    <w:p w:rsidR="00546ECA" w:rsidRDefault="00546ECA"/>
    <w:p w:rsidR="00546ECA" w:rsidRDefault="00546ECA"/>
    <w:p w:rsidR="00226F68" w:rsidRDefault="00226F68"/>
    <w:p w:rsidR="009C2CAF" w:rsidRDefault="009C2CAF"/>
    <w:p w:rsidR="00226F68" w:rsidRPr="00AA596C" w:rsidRDefault="00226F68" w:rsidP="00AA596C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b/>
          <w:sz w:val="32"/>
        </w:rPr>
      </w:pPr>
      <w:r w:rsidRPr="00AA596C">
        <w:rPr>
          <w:rFonts w:ascii="標楷體" w:eastAsia="標楷體" w:hAnsi="標楷體" w:hint="eastAsia"/>
          <w:b/>
          <w:sz w:val="32"/>
        </w:rPr>
        <w:lastRenderedPageBreak/>
        <w:t>前言</w:t>
      </w:r>
    </w:p>
    <w:p w:rsidR="000B3F05" w:rsidRDefault="00166F1E" w:rsidP="00216C7E">
      <w:pPr>
        <w:pStyle w:val="a7"/>
        <w:ind w:leftChars="201" w:left="482" w:firstLineChars="200" w:firstLine="560"/>
        <w:rPr>
          <w:rFonts w:ascii="標楷體" w:eastAsia="標楷體" w:hAnsi="標楷體"/>
          <w:sz w:val="28"/>
          <w:szCs w:val="24"/>
        </w:rPr>
      </w:pPr>
      <w:r w:rsidRPr="00D50FEC">
        <w:rPr>
          <w:rFonts w:ascii="標楷體" w:eastAsia="標楷體" w:hAnsi="標楷體"/>
          <w:sz w:val="28"/>
          <w:szCs w:val="24"/>
        </w:rPr>
        <w:t>為促進苗栗縣全境區域發展均衡，</w:t>
      </w:r>
      <w:proofErr w:type="gramStart"/>
      <w:r w:rsidRPr="00D50FEC">
        <w:rPr>
          <w:rFonts w:ascii="標楷體" w:eastAsia="標楷體" w:hAnsi="標楷體"/>
          <w:sz w:val="28"/>
          <w:szCs w:val="24"/>
        </w:rPr>
        <w:t>營創美</w:t>
      </w:r>
      <w:proofErr w:type="gramEnd"/>
      <w:r w:rsidRPr="00D50FEC">
        <w:rPr>
          <w:rFonts w:ascii="標楷體" w:eastAsia="標楷體" w:hAnsi="標楷體"/>
          <w:sz w:val="28"/>
          <w:szCs w:val="24"/>
        </w:rPr>
        <w:t>藝與生活休閒融合的文化空間，由苗栗縣政府興建「</w:t>
      </w:r>
      <w:proofErr w:type="gramStart"/>
      <w:r w:rsidRPr="00D50FEC">
        <w:rPr>
          <w:rFonts w:ascii="標楷體" w:eastAsia="標楷體" w:hAnsi="標楷體"/>
          <w:sz w:val="28"/>
          <w:szCs w:val="24"/>
        </w:rPr>
        <w:t>苗北藝文</w:t>
      </w:r>
      <w:proofErr w:type="gramEnd"/>
      <w:r w:rsidRPr="00D50FEC">
        <w:rPr>
          <w:rFonts w:ascii="標楷體" w:eastAsia="標楷體" w:hAnsi="標楷體"/>
          <w:sz w:val="28"/>
          <w:szCs w:val="24"/>
        </w:rPr>
        <w:t>中心」</w:t>
      </w:r>
      <w:r w:rsidR="000B3F05">
        <w:rPr>
          <w:rFonts w:ascii="標楷體" w:eastAsia="標楷體" w:hAnsi="標楷體" w:hint="eastAsia"/>
          <w:sz w:val="28"/>
          <w:szCs w:val="24"/>
        </w:rPr>
        <w:t>，並於108</w:t>
      </w:r>
      <w:r w:rsidR="000B3F05" w:rsidRPr="000B3F05">
        <w:rPr>
          <w:rFonts w:ascii="標楷體" w:eastAsia="標楷體" w:hAnsi="標楷體" w:hint="eastAsia"/>
          <w:sz w:val="28"/>
          <w:szCs w:val="24"/>
        </w:rPr>
        <w:t>年底獲文化部核准，轉型成為地方層級的「行政法人」</w:t>
      </w:r>
      <w:r w:rsidR="000B3F05">
        <w:rPr>
          <w:rFonts w:ascii="標楷體" w:eastAsia="標楷體" w:hAnsi="標楷體" w:hint="eastAsia"/>
          <w:sz w:val="28"/>
          <w:szCs w:val="24"/>
        </w:rPr>
        <w:t>，</w:t>
      </w:r>
      <w:r w:rsidR="000B3F05" w:rsidRPr="000B3F05">
        <w:rPr>
          <w:rFonts w:ascii="標楷體" w:eastAsia="標楷體" w:hAnsi="標楷體" w:hint="eastAsia"/>
          <w:sz w:val="28"/>
          <w:szCs w:val="24"/>
        </w:rPr>
        <w:t>成為</w:t>
      </w:r>
      <w:proofErr w:type="gramStart"/>
      <w:r w:rsidR="000B3F05" w:rsidRPr="000B3F05">
        <w:rPr>
          <w:rFonts w:ascii="標楷體" w:eastAsia="標楷體" w:hAnsi="標楷體" w:hint="eastAsia"/>
          <w:sz w:val="28"/>
          <w:szCs w:val="24"/>
        </w:rPr>
        <w:t>縣內第一個</w:t>
      </w:r>
      <w:proofErr w:type="gramEnd"/>
      <w:r w:rsidR="000B3F05" w:rsidRPr="000B3F05">
        <w:rPr>
          <w:rFonts w:ascii="標楷體" w:eastAsia="標楷體" w:hAnsi="標楷體" w:hint="eastAsia"/>
          <w:sz w:val="28"/>
          <w:szCs w:val="24"/>
        </w:rPr>
        <w:t>行政法人的機構。</w:t>
      </w:r>
    </w:p>
    <w:p w:rsidR="00166F1E" w:rsidRPr="00166F1E" w:rsidRDefault="000B3F05" w:rsidP="00216C7E">
      <w:pPr>
        <w:pStyle w:val="a7"/>
        <w:ind w:leftChars="201" w:left="482" w:firstLineChars="200" w:firstLine="560"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苗栗縣苗北藝文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中心</w:t>
      </w:r>
      <w:r w:rsidR="00166F1E" w:rsidRPr="00166F1E">
        <w:rPr>
          <w:rFonts w:ascii="標楷體" w:eastAsia="標楷體" w:hAnsi="標楷體" w:hint="eastAsia"/>
          <w:sz w:val="28"/>
          <w:szCs w:val="24"/>
        </w:rPr>
        <w:t>為一</w:t>
      </w:r>
      <w:proofErr w:type="gramStart"/>
      <w:r w:rsidR="00166F1E" w:rsidRPr="00166F1E">
        <w:rPr>
          <w:rFonts w:ascii="標楷體" w:eastAsia="標楷體" w:hAnsi="標楷體" w:hint="eastAsia"/>
          <w:sz w:val="28"/>
          <w:szCs w:val="24"/>
        </w:rPr>
        <w:t>座地</w:t>
      </w:r>
      <w:proofErr w:type="gramEnd"/>
      <w:r w:rsidR="00166F1E" w:rsidRPr="00166F1E">
        <w:rPr>
          <w:rFonts w:ascii="標楷體" w:eastAsia="標楷體" w:hAnsi="標楷體" w:hint="eastAsia"/>
          <w:sz w:val="28"/>
          <w:szCs w:val="24"/>
        </w:rPr>
        <w:t>上5層，地下2層的現代建築，整體建物面積合計有0.9255公頃，茲</w:t>
      </w:r>
      <w:proofErr w:type="gramStart"/>
      <w:r w:rsidR="00166F1E" w:rsidRPr="00166F1E">
        <w:rPr>
          <w:rFonts w:ascii="標楷體" w:eastAsia="標楷體" w:hAnsi="標楷體" w:hint="eastAsia"/>
          <w:sz w:val="28"/>
          <w:szCs w:val="24"/>
        </w:rPr>
        <w:t>將苗北藝文</w:t>
      </w:r>
      <w:proofErr w:type="gramEnd"/>
      <w:r w:rsidR="00166F1E" w:rsidRPr="00166F1E">
        <w:rPr>
          <w:rFonts w:ascii="標楷體" w:eastAsia="標楷體" w:hAnsi="標楷體" w:hint="eastAsia"/>
          <w:sz w:val="28"/>
          <w:szCs w:val="24"/>
        </w:rPr>
        <w:t>中心層級定位為「縣市級」的表演場所，主要空間規劃為演藝廳(1090席)、實驗劇場(200席)、視聽中心、戶外</w:t>
      </w:r>
      <w:proofErr w:type="gramStart"/>
      <w:r w:rsidR="00166F1E" w:rsidRPr="00166F1E">
        <w:rPr>
          <w:rFonts w:ascii="標楷體" w:eastAsia="標楷體" w:hAnsi="標楷體" w:hint="eastAsia"/>
          <w:sz w:val="28"/>
          <w:szCs w:val="24"/>
        </w:rPr>
        <w:t>展演區</w:t>
      </w:r>
      <w:proofErr w:type="gramEnd"/>
      <w:r w:rsidR="00166F1E" w:rsidRPr="00166F1E">
        <w:rPr>
          <w:rFonts w:ascii="標楷體" w:eastAsia="標楷體" w:hAnsi="標楷體" w:hint="eastAsia"/>
          <w:sz w:val="28"/>
          <w:szCs w:val="24"/>
        </w:rPr>
        <w:t>、藝文展覽區及藝術</w:t>
      </w:r>
      <w:proofErr w:type="gramStart"/>
      <w:r w:rsidR="00166F1E" w:rsidRPr="00166F1E">
        <w:rPr>
          <w:rFonts w:ascii="標楷體" w:eastAsia="標楷體" w:hAnsi="標楷體" w:hint="eastAsia"/>
          <w:sz w:val="28"/>
          <w:szCs w:val="24"/>
        </w:rPr>
        <w:t>創作家駐站</w:t>
      </w:r>
      <w:proofErr w:type="gramEnd"/>
      <w:r w:rsidR="00166F1E" w:rsidRPr="00166F1E">
        <w:rPr>
          <w:rFonts w:ascii="標楷體" w:eastAsia="標楷體" w:hAnsi="標楷體" w:hint="eastAsia"/>
          <w:sz w:val="28"/>
          <w:szCs w:val="24"/>
        </w:rPr>
        <w:t>工作室，發展機能係為適合國內外各類型音樂、戲劇、舞蹈表演及展覽、研習訓練機能與大型集會使用。</w:t>
      </w:r>
    </w:p>
    <w:p w:rsidR="002B099D" w:rsidRDefault="002B099D" w:rsidP="00216C7E">
      <w:pPr>
        <w:pStyle w:val="a7"/>
        <w:ind w:leftChars="201" w:left="482" w:firstLineChars="200" w:firstLine="560"/>
        <w:rPr>
          <w:rFonts w:ascii="標楷體" w:eastAsia="標楷體" w:hAnsi="標楷體"/>
          <w:sz w:val="28"/>
          <w:szCs w:val="24"/>
        </w:rPr>
      </w:pPr>
      <w:r w:rsidRPr="00144364">
        <w:rPr>
          <w:rFonts w:ascii="標楷體" w:eastAsia="標楷體" w:hAnsi="標楷體" w:hint="eastAsia"/>
          <w:sz w:val="28"/>
          <w:szCs w:val="24"/>
        </w:rPr>
        <w:t>本通報係呈現</w:t>
      </w:r>
      <w:proofErr w:type="gramStart"/>
      <w:r w:rsidRPr="00144364">
        <w:rPr>
          <w:rFonts w:ascii="標楷體" w:eastAsia="標楷體" w:hAnsi="標楷體" w:hint="eastAsia"/>
          <w:sz w:val="28"/>
          <w:szCs w:val="24"/>
        </w:rPr>
        <w:t>苗栗縣苗北藝文</w:t>
      </w:r>
      <w:proofErr w:type="gramEnd"/>
      <w:r w:rsidRPr="00144364">
        <w:rPr>
          <w:rFonts w:ascii="標楷體" w:eastAsia="標楷體" w:hAnsi="標楷體" w:hint="eastAsia"/>
          <w:sz w:val="28"/>
          <w:szCs w:val="24"/>
        </w:rPr>
        <w:t>中心</w:t>
      </w:r>
      <w:proofErr w:type="gramStart"/>
      <w:r w:rsidRPr="00144364">
        <w:rPr>
          <w:rFonts w:ascii="標楷體" w:eastAsia="標楷體" w:hAnsi="標楷體" w:hint="eastAsia"/>
          <w:sz w:val="28"/>
          <w:szCs w:val="24"/>
        </w:rPr>
        <w:t>近五年來之</w:t>
      </w:r>
      <w:proofErr w:type="gramEnd"/>
      <w:r w:rsidRPr="00144364">
        <w:rPr>
          <w:rFonts w:ascii="標楷體" w:eastAsia="標楷體" w:hAnsi="標楷體" w:hint="eastAsia"/>
          <w:sz w:val="28"/>
          <w:szCs w:val="24"/>
        </w:rPr>
        <w:t>活動演出類型、場次、人次等統計資料，資料來源為</w:t>
      </w:r>
      <w:proofErr w:type="gramStart"/>
      <w:r w:rsidRPr="00144364">
        <w:rPr>
          <w:rFonts w:ascii="標楷體" w:eastAsia="標楷體" w:hAnsi="標楷體" w:hint="eastAsia"/>
          <w:sz w:val="28"/>
          <w:szCs w:val="24"/>
        </w:rPr>
        <w:t>苗栗縣苗北藝文</w:t>
      </w:r>
      <w:proofErr w:type="gramEnd"/>
      <w:r w:rsidRPr="00144364">
        <w:rPr>
          <w:rFonts w:ascii="標楷體" w:eastAsia="標楷體" w:hAnsi="標楷體" w:hint="eastAsia"/>
          <w:sz w:val="28"/>
          <w:szCs w:val="24"/>
        </w:rPr>
        <w:t>中心活動企劃組。</w:t>
      </w:r>
      <w:r w:rsidR="00166F1E" w:rsidRPr="00166F1E"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0B3F05" w:rsidRDefault="000B3F05" w:rsidP="00166F1E">
      <w:pPr>
        <w:pStyle w:val="a7"/>
        <w:spacing w:line="400" w:lineRule="exact"/>
        <w:ind w:leftChars="201" w:left="482"/>
        <w:rPr>
          <w:rFonts w:ascii="標楷體" w:eastAsia="標楷體" w:hAnsi="標楷體"/>
          <w:sz w:val="28"/>
          <w:szCs w:val="24"/>
        </w:rPr>
      </w:pPr>
    </w:p>
    <w:p w:rsidR="00083963" w:rsidRPr="00D50FEC" w:rsidRDefault="004A03CD" w:rsidP="00166F1E">
      <w:pPr>
        <w:pStyle w:val="a7"/>
        <w:spacing w:line="400" w:lineRule="exact"/>
        <w:ind w:leftChars="201" w:left="482"/>
        <w:rPr>
          <w:rFonts w:ascii="標楷體" w:eastAsia="標楷體" w:hAnsi="標楷體"/>
          <w:sz w:val="28"/>
          <w:szCs w:val="32"/>
        </w:rPr>
      </w:pPr>
      <w:r w:rsidRPr="00D50FEC">
        <w:rPr>
          <w:rFonts w:ascii="標楷體" w:eastAsia="標楷體" w:hAnsi="標楷體" w:hint="eastAsia"/>
          <w:sz w:val="28"/>
          <w:szCs w:val="32"/>
        </w:rPr>
        <w:t xml:space="preserve">   </w:t>
      </w:r>
    </w:p>
    <w:p w:rsidR="00083963" w:rsidRPr="00D50FEC" w:rsidRDefault="00083963" w:rsidP="001E2116">
      <w:pPr>
        <w:pStyle w:val="a7"/>
        <w:spacing w:line="400" w:lineRule="exact"/>
        <w:ind w:leftChars="201" w:left="482" w:firstLineChars="200" w:firstLine="560"/>
        <w:rPr>
          <w:rFonts w:ascii="標楷體" w:eastAsia="標楷體" w:hAnsi="標楷體"/>
          <w:sz w:val="28"/>
          <w:szCs w:val="32"/>
        </w:rPr>
      </w:pPr>
    </w:p>
    <w:p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:rsidR="00083963" w:rsidRDefault="00083963" w:rsidP="001E2116">
      <w:pPr>
        <w:pStyle w:val="a7"/>
        <w:spacing w:line="400" w:lineRule="exact"/>
        <w:ind w:leftChars="201" w:left="482" w:firstLineChars="200" w:firstLine="480"/>
        <w:rPr>
          <w:rFonts w:ascii="標楷體" w:eastAsia="標楷體" w:hAnsi="標楷體"/>
          <w:szCs w:val="24"/>
        </w:rPr>
      </w:pPr>
    </w:p>
    <w:p w:rsidR="0010312E" w:rsidRPr="009C2CAF" w:rsidRDefault="0010312E" w:rsidP="00AA596C">
      <w:pPr>
        <w:pStyle w:val="a7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32"/>
          <w:szCs w:val="24"/>
        </w:rPr>
      </w:pPr>
      <w:proofErr w:type="gramStart"/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lastRenderedPageBreak/>
        <w:t>苗北藝文</w:t>
      </w:r>
      <w:proofErr w:type="gramEnd"/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中心</w:t>
      </w:r>
      <w:r w:rsidR="00B2796F"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展演活動</w:t>
      </w:r>
      <w:r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統計</w:t>
      </w:r>
      <w:r w:rsidR="004F5F9A" w:rsidRPr="009C2CAF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圖表</w:t>
      </w:r>
      <w:r w:rsidR="00AA596C">
        <w:rPr>
          <w:rFonts w:ascii="標楷體" w:eastAsia="標楷體" w:hAnsi="標楷體" w:cs="DFKaiShu-SB-Estd-BF" w:hint="eastAsia"/>
          <w:b/>
          <w:kern w:val="0"/>
          <w:sz w:val="32"/>
          <w:szCs w:val="24"/>
        </w:rPr>
        <w:t>及說明</w:t>
      </w:r>
    </w:p>
    <w:p w:rsidR="00AB6833" w:rsidRDefault="00AB6833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</w:p>
    <w:p w:rsidR="00590F94" w:rsidRPr="00590F94" w:rsidRDefault="00AA596C" w:rsidP="00590F94">
      <w:pPr>
        <w:pStyle w:val="a7"/>
        <w:ind w:leftChars="0"/>
        <w:rPr>
          <w:rFonts w:ascii="標楷體" w:eastAsia="標楷體" w:hAnsi="標楷體"/>
          <w:sz w:val="28"/>
          <w:szCs w:val="32"/>
        </w:rPr>
      </w:pPr>
      <w:r w:rsidRPr="008A7AB1">
        <w:rPr>
          <w:rFonts w:ascii="標楷體" w:eastAsia="標楷體" w:hAnsi="標楷體" w:hint="eastAsia"/>
          <w:sz w:val="28"/>
          <w:szCs w:val="32"/>
        </w:rPr>
        <w:t>一、</w:t>
      </w:r>
      <w:r w:rsidR="009C2CAF" w:rsidRPr="008A7AB1">
        <w:rPr>
          <w:rFonts w:ascii="標楷體" w:eastAsia="標楷體" w:hAnsi="標楷體" w:hint="eastAsia"/>
          <w:sz w:val="28"/>
          <w:szCs w:val="32"/>
        </w:rPr>
        <w:t>活動</w:t>
      </w:r>
      <w:r w:rsidRPr="008A7AB1">
        <w:rPr>
          <w:rFonts w:ascii="標楷體" w:eastAsia="標楷體" w:hAnsi="標楷體" w:hint="eastAsia"/>
          <w:sz w:val="28"/>
          <w:szCs w:val="32"/>
        </w:rPr>
        <w:t>舉辦</w:t>
      </w:r>
      <w:r w:rsidR="009C2CAF" w:rsidRPr="008A7AB1">
        <w:rPr>
          <w:rFonts w:ascii="標楷體" w:eastAsia="標楷體" w:hAnsi="標楷體" w:hint="eastAsia"/>
          <w:sz w:val="28"/>
          <w:szCs w:val="32"/>
        </w:rPr>
        <w:t>場次</w:t>
      </w:r>
    </w:p>
    <w:p w:rsidR="00603818" w:rsidRDefault="00AA596C" w:rsidP="00603818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  <w:proofErr w:type="gramStart"/>
      <w:r w:rsidRPr="00134B6A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Pr="00134B6A">
        <w:rPr>
          <w:rFonts w:ascii="標楷體" w:eastAsia="標楷體" w:hAnsi="標楷體" w:hint="eastAsia"/>
          <w:sz w:val="28"/>
          <w:szCs w:val="24"/>
        </w:rPr>
        <w:t>中心每年平均辦理17</w:t>
      </w:r>
      <w:r w:rsidR="00627FD5">
        <w:rPr>
          <w:rFonts w:ascii="標楷體" w:eastAsia="標楷體" w:hAnsi="標楷體" w:hint="eastAsia"/>
          <w:sz w:val="28"/>
          <w:szCs w:val="24"/>
        </w:rPr>
        <w:t>5</w:t>
      </w:r>
      <w:r w:rsidRPr="00134B6A">
        <w:rPr>
          <w:rFonts w:ascii="標楷體" w:eastAsia="標楷體" w:hAnsi="標楷體" w:hint="eastAsia"/>
          <w:sz w:val="28"/>
          <w:szCs w:val="24"/>
        </w:rPr>
        <w:t>場次不等之展演活動，</w:t>
      </w:r>
      <w:r w:rsidR="00627FD5">
        <w:rPr>
          <w:rFonts w:ascii="標楷體" w:eastAsia="標楷體" w:hAnsi="標楷體" w:hint="eastAsia"/>
          <w:sz w:val="28"/>
          <w:szCs w:val="24"/>
        </w:rPr>
        <w:t>由圖1：</w:t>
      </w:r>
      <w:r w:rsidR="00627FD5">
        <w:rPr>
          <w:rFonts w:ascii="標楷體" w:eastAsia="標楷體" w:hAnsi="標楷體"/>
          <w:sz w:val="28"/>
          <w:szCs w:val="24"/>
        </w:rPr>
        <w:t>105-109年活動類別</w:t>
      </w:r>
      <w:proofErr w:type="gramStart"/>
      <w:r w:rsidR="00627FD5">
        <w:rPr>
          <w:rFonts w:ascii="標楷體" w:eastAsia="標楷體" w:hAnsi="標楷體"/>
          <w:sz w:val="28"/>
          <w:szCs w:val="24"/>
        </w:rPr>
        <w:t>佔</w:t>
      </w:r>
      <w:proofErr w:type="gramEnd"/>
      <w:r w:rsidR="00627FD5">
        <w:rPr>
          <w:rFonts w:ascii="標楷體" w:eastAsia="標楷體" w:hAnsi="標楷體"/>
          <w:sz w:val="28"/>
          <w:szCs w:val="24"/>
        </w:rPr>
        <w:t>比可知</w:t>
      </w:r>
      <w:r w:rsidR="00F67F5B">
        <w:rPr>
          <w:rFonts w:ascii="標楷體" w:eastAsia="標楷體" w:hAnsi="標楷體"/>
          <w:sz w:val="28"/>
          <w:szCs w:val="24"/>
        </w:rPr>
        <w:t>(</w:t>
      </w:r>
      <w:proofErr w:type="gramStart"/>
      <w:r w:rsidR="00F67F5B">
        <w:rPr>
          <w:rFonts w:ascii="標楷體" w:eastAsia="標楷體" w:hAnsi="標楷體"/>
          <w:sz w:val="28"/>
          <w:szCs w:val="24"/>
        </w:rPr>
        <w:t>註</w:t>
      </w:r>
      <w:proofErr w:type="gramEnd"/>
      <w:r w:rsidR="00F67F5B">
        <w:rPr>
          <w:rFonts w:ascii="標楷體" w:eastAsia="標楷體" w:hAnsi="標楷體"/>
          <w:sz w:val="28"/>
          <w:szCs w:val="24"/>
        </w:rPr>
        <w:t>：自</w:t>
      </w:r>
      <w:proofErr w:type="gramStart"/>
      <w:r w:rsidR="00F67F5B">
        <w:rPr>
          <w:rFonts w:ascii="標楷體" w:eastAsia="標楷體" w:hAnsi="標楷體"/>
          <w:sz w:val="28"/>
          <w:szCs w:val="24"/>
        </w:rPr>
        <w:t>109</w:t>
      </w:r>
      <w:proofErr w:type="gramEnd"/>
      <w:r w:rsidR="00F67F5B">
        <w:rPr>
          <w:rFonts w:ascii="標楷體" w:eastAsia="標楷體" w:hAnsi="標楷體"/>
          <w:sz w:val="28"/>
          <w:szCs w:val="24"/>
        </w:rPr>
        <w:t>年度舉辦活動場次類型分類做些微調整</w:t>
      </w:r>
      <w:r w:rsidR="00F67F5B">
        <w:rPr>
          <w:rFonts w:ascii="標楷體" w:eastAsia="標楷體" w:hAnsi="標楷體" w:hint="eastAsia"/>
          <w:sz w:val="28"/>
          <w:szCs w:val="24"/>
        </w:rPr>
        <w:t>)</w:t>
      </w:r>
      <w:r w:rsidR="00627FD5">
        <w:rPr>
          <w:rFonts w:ascii="標楷體" w:eastAsia="標楷體" w:hAnsi="標楷體"/>
          <w:sz w:val="28"/>
          <w:szCs w:val="24"/>
        </w:rPr>
        <w:t>，</w:t>
      </w:r>
      <w:r w:rsidRPr="00134B6A">
        <w:rPr>
          <w:rFonts w:ascii="標楷體" w:eastAsia="標楷體" w:hAnsi="標楷體" w:hint="eastAsia"/>
          <w:sz w:val="28"/>
          <w:szCs w:val="24"/>
        </w:rPr>
        <w:t>其中以音樂類別為第一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134B6A">
        <w:rPr>
          <w:rFonts w:ascii="標楷體" w:eastAsia="標楷體" w:hAnsi="標楷體" w:hint="eastAsia"/>
          <w:sz w:val="28"/>
          <w:szCs w:val="24"/>
        </w:rPr>
        <w:t>所占比例逾五成，其他類(</w:t>
      </w:r>
      <w:proofErr w:type="gramStart"/>
      <w:r w:rsidRPr="00134B6A">
        <w:rPr>
          <w:rFonts w:ascii="標楷體" w:eastAsia="標楷體" w:hAnsi="標楷體" w:hint="eastAsia"/>
          <w:sz w:val="28"/>
          <w:szCs w:val="24"/>
        </w:rPr>
        <w:t>註</w:t>
      </w:r>
      <w:proofErr w:type="gramEnd"/>
      <w:r w:rsidRPr="00134B6A">
        <w:rPr>
          <w:rFonts w:ascii="標楷體" w:eastAsia="標楷體" w:hAnsi="標楷體" w:hint="eastAsia"/>
          <w:sz w:val="28"/>
          <w:szCs w:val="24"/>
        </w:rPr>
        <w:t>：</w:t>
      </w:r>
      <w:proofErr w:type="gramStart"/>
      <w:r w:rsidRPr="00134B6A">
        <w:rPr>
          <w:rFonts w:ascii="標楷體" w:eastAsia="標楷體" w:hAnsi="標楷體" w:hint="eastAsia"/>
          <w:sz w:val="28"/>
          <w:szCs w:val="24"/>
        </w:rPr>
        <w:t>其他類係指</w:t>
      </w:r>
      <w:proofErr w:type="gramEnd"/>
      <w:r w:rsidRPr="00134B6A">
        <w:rPr>
          <w:rFonts w:ascii="標楷體" w:eastAsia="標楷體" w:hAnsi="標楷體" w:hint="eastAsia"/>
          <w:sz w:val="28"/>
          <w:szCs w:val="24"/>
        </w:rPr>
        <w:t>舉辦比賽、發表會、畢業典禮、講座等)</w:t>
      </w:r>
      <w:r w:rsidR="00627FD5">
        <w:rPr>
          <w:rFonts w:ascii="標楷體" w:eastAsia="標楷體" w:hAnsi="標楷體" w:hint="eastAsia"/>
          <w:sz w:val="28"/>
          <w:szCs w:val="24"/>
        </w:rPr>
        <w:t>次之，再來為</w:t>
      </w:r>
      <w:proofErr w:type="gramStart"/>
      <w:r w:rsidR="00627FD5">
        <w:rPr>
          <w:rFonts w:ascii="標楷體" w:eastAsia="標楷體" w:hAnsi="標楷體" w:hint="eastAsia"/>
          <w:sz w:val="28"/>
          <w:szCs w:val="24"/>
        </w:rPr>
        <w:t>親子劇及</w:t>
      </w:r>
      <w:proofErr w:type="gramEnd"/>
      <w:r w:rsidR="00627FD5">
        <w:rPr>
          <w:rFonts w:ascii="標楷體" w:eastAsia="標楷體" w:hAnsi="標楷體" w:hint="eastAsia"/>
          <w:sz w:val="28"/>
          <w:szCs w:val="24"/>
        </w:rPr>
        <w:t>電影戲劇類，</w:t>
      </w:r>
      <w:r w:rsidRPr="00134B6A">
        <w:rPr>
          <w:rFonts w:ascii="標楷體" w:eastAsia="標楷體" w:hAnsi="標楷體" w:hint="eastAsia"/>
          <w:sz w:val="28"/>
          <w:szCs w:val="24"/>
        </w:rPr>
        <w:t>在</w:t>
      </w:r>
      <w:proofErr w:type="gramStart"/>
      <w:r w:rsidRPr="00134B6A">
        <w:rPr>
          <w:rFonts w:ascii="標楷體" w:eastAsia="標楷體" w:hAnsi="標楷體" w:hint="eastAsia"/>
          <w:sz w:val="28"/>
          <w:szCs w:val="24"/>
        </w:rPr>
        <w:t>108</w:t>
      </w:r>
      <w:proofErr w:type="gramEnd"/>
      <w:r w:rsidRPr="00134B6A">
        <w:rPr>
          <w:rFonts w:ascii="標楷體" w:eastAsia="標楷體" w:hAnsi="標楷體" w:hint="eastAsia"/>
          <w:sz w:val="28"/>
          <w:szCs w:val="24"/>
        </w:rPr>
        <w:t>年度音樂類的比例大幅上升</w:t>
      </w:r>
      <w:r w:rsidR="00905F8A">
        <w:rPr>
          <w:rFonts w:ascii="標楷體" w:eastAsia="標楷體" w:hAnsi="標楷體" w:hint="eastAsia"/>
          <w:sz w:val="28"/>
          <w:szCs w:val="24"/>
        </w:rPr>
        <w:t>，</w:t>
      </w:r>
      <w:r w:rsidR="00627FD5">
        <w:rPr>
          <w:rFonts w:ascii="標楷體" w:eastAsia="標楷體" w:hAnsi="標楷體" w:hint="eastAsia"/>
          <w:sz w:val="28"/>
          <w:szCs w:val="24"/>
        </w:rPr>
        <w:t>而</w:t>
      </w:r>
      <w:proofErr w:type="gramStart"/>
      <w:r w:rsidR="00627FD5">
        <w:rPr>
          <w:rFonts w:ascii="標楷體" w:eastAsia="標楷體" w:hAnsi="標楷體" w:hint="eastAsia"/>
          <w:sz w:val="28"/>
          <w:szCs w:val="24"/>
        </w:rPr>
        <w:t>109</w:t>
      </w:r>
      <w:proofErr w:type="gramEnd"/>
      <w:r w:rsidR="00627FD5">
        <w:rPr>
          <w:rFonts w:ascii="標楷體" w:eastAsia="標楷體" w:hAnsi="標楷體" w:hint="eastAsia"/>
          <w:sz w:val="28"/>
          <w:szCs w:val="24"/>
        </w:rPr>
        <w:t>年度音樂類的比例稍降</w:t>
      </w:r>
      <w:r w:rsidR="00D3393F">
        <w:rPr>
          <w:rFonts w:ascii="標楷體" w:eastAsia="標楷體" w:hAnsi="標楷體" w:hint="eastAsia"/>
          <w:sz w:val="28"/>
          <w:szCs w:val="24"/>
        </w:rPr>
        <w:t>（詳圖2）</w:t>
      </w:r>
      <w:r w:rsidR="00627FD5">
        <w:rPr>
          <w:rFonts w:ascii="標楷體" w:eastAsia="標楷體" w:hAnsi="標楷體" w:hint="eastAsia"/>
          <w:sz w:val="28"/>
          <w:szCs w:val="24"/>
        </w:rPr>
        <w:t>，</w:t>
      </w:r>
      <w:r w:rsidR="00905F8A">
        <w:rPr>
          <w:rFonts w:ascii="標楷體" w:eastAsia="標楷體" w:hAnsi="標楷體" w:hint="eastAsia"/>
          <w:sz w:val="28"/>
          <w:szCs w:val="24"/>
        </w:rPr>
        <w:t>希望藉由結合發展在地文化，提昇民眾藝文涵養，以達文化扎根目的</w:t>
      </w:r>
      <w:r w:rsidR="00E6196E">
        <w:rPr>
          <w:rFonts w:ascii="標楷體" w:eastAsia="標楷體" w:hAnsi="標楷體" w:hint="eastAsia"/>
          <w:sz w:val="28"/>
          <w:szCs w:val="24"/>
        </w:rPr>
        <w:t>；</w:t>
      </w:r>
      <w:proofErr w:type="gramStart"/>
      <w:r w:rsidR="00E6196E">
        <w:rPr>
          <w:rFonts w:ascii="標楷體" w:eastAsia="標楷體" w:hAnsi="標楷體" w:hint="eastAsia"/>
          <w:sz w:val="28"/>
          <w:szCs w:val="24"/>
        </w:rPr>
        <w:t>另圖表</w:t>
      </w:r>
      <w:proofErr w:type="gramEnd"/>
      <w:r w:rsidR="00E6196E">
        <w:rPr>
          <w:rFonts w:ascii="標楷體" w:eastAsia="標楷體" w:hAnsi="標楷體" w:hint="eastAsia"/>
          <w:sz w:val="28"/>
          <w:szCs w:val="24"/>
        </w:rPr>
        <w:t>分析可見歷年辦理活動場次逐年上升趨勢（詳</w:t>
      </w:r>
      <w:r w:rsidR="00D3393F">
        <w:rPr>
          <w:rFonts w:ascii="標楷體" w:eastAsia="標楷體" w:hAnsi="標楷體" w:hint="eastAsia"/>
          <w:sz w:val="28"/>
          <w:szCs w:val="24"/>
        </w:rPr>
        <w:t>圖3</w:t>
      </w:r>
      <w:r w:rsidR="00E6196E">
        <w:rPr>
          <w:rFonts w:ascii="標楷體" w:eastAsia="標楷體" w:hAnsi="標楷體" w:hint="eastAsia"/>
          <w:sz w:val="28"/>
          <w:szCs w:val="24"/>
        </w:rPr>
        <w:t>）</w:t>
      </w:r>
      <w:r w:rsidR="002C2BC2">
        <w:rPr>
          <w:rFonts w:ascii="標楷體" w:eastAsia="標楷體" w:hAnsi="標楷體" w:hint="eastAsia"/>
          <w:sz w:val="28"/>
          <w:szCs w:val="24"/>
        </w:rPr>
        <w:t>。</w:t>
      </w:r>
    </w:p>
    <w:p w:rsidR="002C2BC2" w:rsidRPr="00CF44D4" w:rsidRDefault="00685BF1" w:rsidP="007A7A40">
      <w:pPr>
        <w:ind w:left="482" w:firstLineChars="200" w:firstLine="480"/>
        <w:rPr>
          <w:rFonts w:ascii="標楷體" w:eastAsia="標楷體" w:hAnsi="標楷體"/>
          <w:sz w:val="28"/>
          <w:szCs w:val="24"/>
        </w:rPr>
      </w:pPr>
      <w:r w:rsidRPr="00685BF1">
        <w:rPr>
          <w:noProof/>
        </w:rPr>
        <w:drawing>
          <wp:anchor distT="0" distB="0" distL="114300" distR="114300" simplePos="0" relativeHeight="251717632" behindDoc="1" locked="0" layoutInCell="1" allowOverlap="1" wp14:anchorId="527A9897" wp14:editId="443CCBCC">
            <wp:simplePos x="0" y="0"/>
            <wp:positionH relativeFrom="column">
              <wp:posOffset>333375</wp:posOffset>
            </wp:positionH>
            <wp:positionV relativeFrom="paragraph">
              <wp:posOffset>254000</wp:posOffset>
            </wp:positionV>
            <wp:extent cx="5026540" cy="3448050"/>
            <wp:effectExtent l="0" t="0" r="3175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4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BC2" w:rsidRDefault="002C2BC2" w:rsidP="002C2BC2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2C2BC2" w:rsidRDefault="002C2BC2" w:rsidP="002C2BC2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2C2BC2" w:rsidRDefault="002C2BC2" w:rsidP="002C2BC2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2C2BC2" w:rsidRDefault="002C2BC2" w:rsidP="002C2BC2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2C2BC2" w:rsidRDefault="002C2BC2" w:rsidP="002C2BC2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2C2BC2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2C2BC2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F67F5B">
      <w:pPr>
        <w:rPr>
          <w:rFonts w:ascii="標楷體" w:eastAsia="標楷體" w:hAnsi="標楷體"/>
          <w:sz w:val="28"/>
          <w:szCs w:val="24"/>
        </w:rPr>
      </w:pPr>
    </w:p>
    <w:p w:rsidR="00590F94" w:rsidRDefault="00637623" w:rsidP="00637623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lastRenderedPageBreak/>
        <w:t>圖1：105-109年活動類別</w:t>
      </w:r>
      <w:proofErr w:type="gramStart"/>
      <w:r>
        <w:rPr>
          <w:rFonts w:ascii="標楷體" w:eastAsia="標楷體" w:hAnsi="標楷體"/>
          <w:sz w:val="28"/>
          <w:szCs w:val="24"/>
        </w:rPr>
        <w:t>佔</w:t>
      </w:r>
      <w:proofErr w:type="gramEnd"/>
      <w:r>
        <w:rPr>
          <w:rFonts w:ascii="標楷體" w:eastAsia="標楷體" w:hAnsi="標楷體"/>
          <w:sz w:val="28"/>
          <w:szCs w:val="24"/>
        </w:rPr>
        <w:t>比</w:t>
      </w:r>
    </w:p>
    <w:p w:rsidR="00590F94" w:rsidRDefault="00637623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10464" behindDoc="1" locked="0" layoutInCell="1" allowOverlap="1" wp14:anchorId="671658E0" wp14:editId="5F5C6E87">
            <wp:simplePos x="0" y="0"/>
            <wp:positionH relativeFrom="column">
              <wp:posOffset>-161925</wp:posOffset>
            </wp:positionH>
            <wp:positionV relativeFrom="paragraph">
              <wp:posOffset>107315</wp:posOffset>
            </wp:positionV>
            <wp:extent cx="5650230" cy="3733165"/>
            <wp:effectExtent l="0" t="0" r="7620" b="63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373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94" w:rsidRDefault="00590F94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637623" w:rsidRDefault="00637623" w:rsidP="00637623">
      <w:pPr>
        <w:rPr>
          <w:rFonts w:ascii="標楷體" w:eastAsia="標楷體" w:hAnsi="標楷體"/>
          <w:sz w:val="28"/>
          <w:szCs w:val="24"/>
        </w:rPr>
      </w:pPr>
    </w:p>
    <w:p w:rsidR="00637623" w:rsidRDefault="00637623" w:rsidP="00637623">
      <w:pPr>
        <w:jc w:val="center"/>
        <w:rPr>
          <w:rFonts w:ascii="標楷體" w:eastAsia="標楷體" w:hAnsi="標楷體"/>
          <w:sz w:val="28"/>
          <w:szCs w:val="24"/>
        </w:rPr>
      </w:pPr>
    </w:p>
    <w:p w:rsidR="00F67F5B" w:rsidRDefault="00F67F5B" w:rsidP="00637623">
      <w:pPr>
        <w:jc w:val="center"/>
        <w:rPr>
          <w:rFonts w:ascii="標楷體" w:eastAsia="標楷體" w:hAnsi="標楷體"/>
          <w:sz w:val="28"/>
          <w:szCs w:val="24"/>
        </w:rPr>
      </w:pPr>
    </w:p>
    <w:p w:rsidR="00637623" w:rsidRDefault="00637623" w:rsidP="00637623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圖2：各年度舉辦活動類別／場次</w:t>
      </w:r>
    </w:p>
    <w:p w:rsidR="00637623" w:rsidRDefault="00637623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12512" behindDoc="1" locked="0" layoutInCell="1" allowOverlap="1" wp14:anchorId="59CF54A7" wp14:editId="01EF7AD7">
            <wp:simplePos x="0" y="0"/>
            <wp:positionH relativeFrom="column">
              <wp:posOffset>-238125</wp:posOffset>
            </wp:positionH>
            <wp:positionV relativeFrom="paragraph">
              <wp:posOffset>250825</wp:posOffset>
            </wp:positionV>
            <wp:extent cx="5951855" cy="2672715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267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623" w:rsidRDefault="00637623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637623" w:rsidRDefault="00637623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90F94" w:rsidRDefault="00590F94" w:rsidP="00590F94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3393F" w:rsidRDefault="00D3393F" w:rsidP="00D3393F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圖3：各年度舉辦活動場次</w:t>
      </w:r>
    </w:p>
    <w:p w:rsidR="00861E5A" w:rsidRDefault="00861E5A" w:rsidP="00D3393F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14560" behindDoc="1" locked="0" layoutInCell="1" allowOverlap="1" wp14:anchorId="3B486CE4" wp14:editId="64864C5B">
            <wp:simplePos x="0" y="0"/>
            <wp:positionH relativeFrom="column">
              <wp:posOffset>-19050</wp:posOffset>
            </wp:positionH>
            <wp:positionV relativeFrom="paragraph">
              <wp:posOffset>219075</wp:posOffset>
            </wp:positionV>
            <wp:extent cx="5570220" cy="266700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93F" w:rsidRDefault="00D3393F" w:rsidP="00E6196E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3393F" w:rsidRDefault="00D3393F" w:rsidP="00E6196E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3393F" w:rsidRDefault="00D3393F" w:rsidP="00E6196E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3393F" w:rsidRDefault="00D3393F" w:rsidP="00E6196E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3393F" w:rsidRDefault="00D3393F" w:rsidP="00E6196E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C7287" w:rsidRDefault="00DC7287" w:rsidP="00861E5A">
      <w:pPr>
        <w:rPr>
          <w:rFonts w:ascii="標楷體" w:eastAsia="標楷體" w:hAnsi="標楷體"/>
          <w:sz w:val="28"/>
          <w:szCs w:val="24"/>
        </w:rPr>
      </w:pPr>
    </w:p>
    <w:p w:rsidR="00DC7287" w:rsidRDefault="00DC7287" w:rsidP="00E6196E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C7287" w:rsidRPr="008B1132" w:rsidRDefault="00905F8A" w:rsidP="008B1132">
      <w:pPr>
        <w:ind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而自109年起「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中心」轉型為「行政法人」後，舉辦活動演出形式之統計資料做調整，不再侷限以演出活動類型細分為主，而分別以「演出活動」、「藝文展覽」、「教育推展」</w:t>
      </w:r>
      <w:r w:rsidR="00795B36">
        <w:rPr>
          <w:rFonts w:ascii="標楷體" w:eastAsia="標楷體" w:hAnsi="標楷體" w:hint="eastAsia"/>
          <w:sz w:val="28"/>
          <w:szCs w:val="24"/>
        </w:rPr>
        <w:t>等舉辦活動類型及</w:t>
      </w:r>
      <w:r w:rsidR="00795B36" w:rsidRPr="00795B36">
        <w:rPr>
          <w:rFonts w:ascii="標楷體" w:eastAsia="標楷體" w:hAnsi="標楷體"/>
          <w:sz w:val="28"/>
          <w:szCs w:val="24"/>
        </w:rPr>
        <w:t>提供民眾辦理</w:t>
      </w:r>
      <w:r w:rsidR="002C2BC2">
        <w:rPr>
          <w:rFonts w:ascii="標楷體" w:eastAsia="標楷體" w:hAnsi="標楷體"/>
          <w:sz w:val="28"/>
          <w:szCs w:val="24"/>
        </w:rPr>
        <w:t>活動、</w:t>
      </w:r>
      <w:r w:rsidR="00795B36" w:rsidRPr="00795B36">
        <w:rPr>
          <w:rFonts w:ascii="標楷體" w:eastAsia="標楷體" w:hAnsi="標楷體"/>
          <w:sz w:val="28"/>
          <w:szCs w:val="24"/>
        </w:rPr>
        <w:t>演講、會議與教學課程使用</w:t>
      </w:r>
      <w:r w:rsidR="00795B36">
        <w:rPr>
          <w:rFonts w:ascii="標楷體" w:eastAsia="標楷體" w:hAnsi="標楷體"/>
          <w:sz w:val="28"/>
          <w:szCs w:val="24"/>
        </w:rPr>
        <w:t>等「場域空間」</w:t>
      </w:r>
      <w:r w:rsidR="0022260F">
        <w:rPr>
          <w:rFonts w:ascii="標楷體" w:eastAsia="標楷體" w:hAnsi="標楷體"/>
          <w:sz w:val="28"/>
          <w:szCs w:val="24"/>
        </w:rPr>
        <w:t>之面向</w:t>
      </w:r>
      <w:r w:rsidR="002C2BC2">
        <w:rPr>
          <w:rFonts w:ascii="標楷體" w:eastAsia="標楷體" w:hAnsi="標楷體"/>
          <w:sz w:val="28"/>
          <w:szCs w:val="24"/>
        </w:rPr>
        <w:t>做資料統計</w:t>
      </w:r>
      <w:r w:rsidR="00E6196E">
        <w:rPr>
          <w:rFonts w:ascii="標楷體" w:eastAsia="標楷體" w:hAnsi="標楷體"/>
          <w:sz w:val="28"/>
          <w:szCs w:val="24"/>
        </w:rPr>
        <w:t>（詳表2）</w:t>
      </w:r>
      <w:r w:rsidR="002C2BC2">
        <w:rPr>
          <w:rFonts w:ascii="標楷體" w:eastAsia="標楷體" w:hAnsi="標楷體"/>
          <w:sz w:val="28"/>
          <w:szCs w:val="24"/>
        </w:rPr>
        <w:t>，多元呈現表演場所活動舉辦情形</w:t>
      </w:r>
      <w:r w:rsidR="008B1132">
        <w:rPr>
          <w:rFonts w:ascii="標楷體" w:eastAsia="標楷體" w:hAnsi="標楷體"/>
          <w:sz w:val="28"/>
          <w:szCs w:val="24"/>
        </w:rPr>
        <w:t>，其中演出活動</w:t>
      </w:r>
      <w:proofErr w:type="gramStart"/>
      <w:r w:rsidR="008B1132">
        <w:rPr>
          <w:rFonts w:ascii="標楷體" w:eastAsia="標楷體" w:hAnsi="標楷體"/>
          <w:sz w:val="28"/>
          <w:szCs w:val="24"/>
        </w:rPr>
        <w:t>佔</w:t>
      </w:r>
      <w:proofErr w:type="gramEnd"/>
      <w:r w:rsidR="008B1132">
        <w:rPr>
          <w:rFonts w:ascii="標楷體" w:eastAsia="標楷體" w:hAnsi="標楷體"/>
          <w:sz w:val="28"/>
          <w:szCs w:val="24"/>
        </w:rPr>
        <w:t>44％，教育推廣</w:t>
      </w:r>
      <w:proofErr w:type="gramStart"/>
      <w:r w:rsidR="008B1132">
        <w:rPr>
          <w:rFonts w:ascii="標楷體" w:eastAsia="標楷體" w:hAnsi="標楷體"/>
          <w:sz w:val="28"/>
          <w:szCs w:val="24"/>
        </w:rPr>
        <w:t>佔</w:t>
      </w:r>
      <w:proofErr w:type="gramEnd"/>
      <w:r w:rsidR="008B1132">
        <w:rPr>
          <w:rFonts w:ascii="標楷體" w:eastAsia="標楷體" w:hAnsi="標楷體"/>
          <w:sz w:val="28"/>
          <w:szCs w:val="24"/>
        </w:rPr>
        <w:t>29％次之，藝文展覽為16％，而場域空間則為11％（詳圖3）</w:t>
      </w:r>
      <w:r w:rsidR="0022260F">
        <w:rPr>
          <w:rFonts w:ascii="標楷體" w:eastAsia="標楷體" w:hAnsi="標楷體"/>
          <w:sz w:val="28"/>
          <w:szCs w:val="24"/>
        </w:rPr>
        <w:t>；</w:t>
      </w:r>
      <w:r w:rsidR="00D3393F">
        <w:rPr>
          <w:rFonts w:ascii="標楷體" w:eastAsia="標楷體" w:hAnsi="標楷體"/>
          <w:sz w:val="28"/>
          <w:szCs w:val="24"/>
        </w:rPr>
        <w:t>而依</w:t>
      </w:r>
      <w:proofErr w:type="gramStart"/>
      <w:r w:rsidR="00D3393F">
        <w:rPr>
          <w:rFonts w:ascii="標楷體" w:eastAsia="標楷體" w:hAnsi="標楷體"/>
          <w:sz w:val="28"/>
          <w:szCs w:val="24"/>
        </w:rPr>
        <w:t>109</w:t>
      </w:r>
      <w:proofErr w:type="gramEnd"/>
      <w:r w:rsidR="00D3393F">
        <w:rPr>
          <w:rFonts w:ascii="標楷體" w:eastAsia="標楷體" w:hAnsi="標楷體"/>
          <w:sz w:val="28"/>
          <w:szCs w:val="24"/>
        </w:rPr>
        <w:t>年度</w:t>
      </w:r>
      <w:r w:rsidR="008B1132">
        <w:rPr>
          <w:rFonts w:ascii="標楷體" w:eastAsia="標楷體" w:hAnsi="標楷體"/>
          <w:sz w:val="28"/>
          <w:szCs w:val="24"/>
        </w:rPr>
        <w:t>演出</w:t>
      </w:r>
      <w:r w:rsidR="00D3393F">
        <w:rPr>
          <w:rFonts w:ascii="標楷體" w:eastAsia="標楷體" w:hAnsi="標楷體"/>
          <w:sz w:val="28"/>
          <w:szCs w:val="24"/>
        </w:rPr>
        <w:t>活動類</w:t>
      </w:r>
      <w:r w:rsidR="008B1132">
        <w:rPr>
          <w:rFonts w:ascii="標楷體" w:eastAsia="標楷體" w:hAnsi="標楷體"/>
          <w:sz w:val="28"/>
          <w:szCs w:val="24"/>
        </w:rPr>
        <w:t>別場次分析</w:t>
      </w:r>
      <w:r w:rsidR="00D3393F">
        <w:rPr>
          <w:rFonts w:ascii="標楷體" w:eastAsia="標楷體" w:hAnsi="標楷體"/>
          <w:sz w:val="28"/>
          <w:szCs w:val="24"/>
        </w:rPr>
        <w:t>，</w:t>
      </w:r>
      <w:r w:rsidR="008C7F20">
        <w:rPr>
          <w:rFonts w:ascii="標楷體" w:eastAsia="標楷體" w:hAnsi="標楷體"/>
          <w:sz w:val="28"/>
          <w:szCs w:val="24"/>
        </w:rPr>
        <w:t>「演出活動」類別又</w:t>
      </w:r>
      <w:r w:rsidR="0022260F">
        <w:rPr>
          <w:rFonts w:ascii="標楷體" w:eastAsia="標楷體" w:hAnsi="標楷體"/>
          <w:sz w:val="28"/>
          <w:szCs w:val="24"/>
        </w:rPr>
        <w:t>細分音樂類、舞蹈類、戲劇類及其他</w:t>
      </w:r>
      <w:r w:rsidR="006836FC">
        <w:rPr>
          <w:rFonts w:ascii="標楷體" w:eastAsia="標楷體" w:hAnsi="標楷體"/>
          <w:sz w:val="28"/>
          <w:szCs w:val="24"/>
        </w:rPr>
        <w:t>（詳表3）</w:t>
      </w:r>
      <w:r w:rsidR="0022260F">
        <w:rPr>
          <w:rFonts w:ascii="標楷體" w:eastAsia="標楷體" w:hAnsi="標楷體"/>
          <w:sz w:val="28"/>
          <w:szCs w:val="24"/>
        </w:rPr>
        <w:t>，</w:t>
      </w:r>
      <w:r w:rsidR="008C7F20">
        <w:rPr>
          <w:rFonts w:ascii="標楷體" w:eastAsia="標楷體" w:hAnsi="標楷體"/>
          <w:sz w:val="28"/>
          <w:szCs w:val="24"/>
        </w:rPr>
        <w:t>其中以音樂類為演出活動類別大宗</w:t>
      </w:r>
      <w:proofErr w:type="gramStart"/>
      <w:r w:rsidR="008B1132">
        <w:rPr>
          <w:rFonts w:ascii="標楷體" w:eastAsia="標楷體" w:hAnsi="標楷體"/>
          <w:sz w:val="28"/>
          <w:szCs w:val="24"/>
        </w:rPr>
        <w:t>佔</w:t>
      </w:r>
      <w:proofErr w:type="gramEnd"/>
      <w:r w:rsidR="008B1132">
        <w:rPr>
          <w:rFonts w:ascii="標楷體" w:eastAsia="標楷體" w:hAnsi="標楷體"/>
          <w:sz w:val="28"/>
          <w:szCs w:val="24"/>
        </w:rPr>
        <w:t>43％</w:t>
      </w:r>
      <w:r w:rsidR="00DC7287">
        <w:rPr>
          <w:rFonts w:ascii="標楷體" w:eastAsia="標楷體" w:hAnsi="標楷體"/>
          <w:sz w:val="28"/>
          <w:szCs w:val="24"/>
        </w:rPr>
        <w:t>（詳圖4）</w:t>
      </w:r>
      <w:r w:rsidR="002C2BC2">
        <w:rPr>
          <w:rFonts w:ascii="標楷體" w:eastAsia="標楷體" w:hAnsi="標楷體"/>
          <w:sz w:val="28"/>
          <w:szCs w:val="24"/>
        </w:rPr>
        <w:t>。</w:t>
      </w:r>
    </w:p>
    <w:p w:rsidR="000965A4" w:rsidRPr="00C87CFD" w:rsidRDefault="006836FC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E6196E"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0F9D3CCC" wp14:editId="1E320812">
            <wp:simplePos x="0" y="0"/>
            <wp:positionH relativeFrom="column">
              <wp:posOffset>19050</wp:posOffset>
            </wp:positionH>
            <wp:positionV relativeFrom="paragraph">
              <wp:posOffset>88900</wp:posOffset>
            </wp:positionV>
            <wp:extent cx="5267325" cy="857250"/>
            <wp:effectExtent l="0" t="0" r="9525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5A4" w:rsidRDefault="000965A4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</w:p>
    <w:p w:rsidR="00D3393F" w:rsidRPr="00D3393F" w:rsidRDefault="00D3393F" w:rsidP="00D3393F">
      <w:pPr>
        <w:spacing w:line="400" w:lineRule="exact"/>
        <w:rPr>
          <w:rFonts w:ascii="標楷體" w:eastAsia="標楷體" w:hAnsi="標楷體"/>
          <w:szCs w:val="24"/>
        </w:rPr>
      </w:pPr>
    </w:p>
    <w:p w:rsidR="006836FC" w:rsidRDefault="006836FC" w:rsidP="006836FC">
      <w:pPr>
        <w:rPr>
          <w:rFonts w:ascii="標楷體" w:eastAsia="標楷體" w:hAnsi="標楷體"/>
          <w:sz w:val="28"/>
          <w:szCs w:val="24"/>
        </w:rPr>
      </w:pPr>
    </w:p>
    <w:p w:rsidR="006836FC" w:rsidRPr="006836FC" w:rsidRDefault="006836FC" w:rsidP="006836FC">
      <w:pPr>
        <w:rPr>
          <w:rFonts w:ascii="標楷體" w:eastAsia="標楷體" w:hAnsi="標楷體"/>
          <w:sz w:val="28"/>
          <w:szCs w:val="24"/>
        </w:rPr>
      </w:pPr>
    </w:p>
    <w:p w:rsidR="00D3393F" w:rsidRPr="00D3393F" w:rsidRDefault="00D3393F" w:rsidP="00D3393F">
      <w:pPr>
        <w:jc w:val="center"/>
        <w:rPr>
          <w:rFonts w:ascii="標楷體" w:eastAsia="標楷體" w:hAnsi="標楷體"/>
          <w:sz w:val="28"/>
          <w:szCs w:val="24"/>
        </w:rPr>
      </w:pPr>
      <w:r w:rsidRPr="00D3393F">
        <w:rPr>
          <w:rFonts w:ascii="標楷體" w:eastAsia="標楷體" w:hAnsi="標楷體" w:hint="eastAsia"/>
          <w:sz w:val="28"/>
          <w:szCs w:val="24"/>
        </w:rPr>
        <w:t>圖3：109年</w:t>
      </w:r>
      <w:r w:rsidR="006836FC">
        <w:rPr>
          <w:rFonts w:ascii="標楷體" w:eastAsia="標楷體" w:hAnsi="標楷體"/>
          <w:sz w:val="28"/>
          <w:szCs w:val="24"/>
        </w:rPr>
        <w:t>舉辦</w:t>
      </w:r>
      <w:r w:rsidRPr="00D3393F">
        <w:rPr>
          <w:rFonts w:ascii="標楷體" w:eastAsia="標楷體" w:hAnsi="標楷體" w:hint="eastAsia"/>
          <w:sz w:val="28"/>
          <w:szCs w:val="24"/>
        </w:rPr>
        <w:t>活動類型</w:t>
      </w:r>
      <w:proofErr w:type="gramStart"/>
      <w:r w:rsidRPr="00D3393F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Pr="00D3393F">
        <w:rPr>
          <w:rFonts w:ascii="標楷體" w:eastAsia="標楷體" w:hAnsi="標楷體" w:hint="eastAsia"/>
          <w:sz w:val="28"/>
          <w:szCs w:val="24"/>
        </w:rPr>
        <w:t>比</w:t>
      </w:r>
    </w:p>
    <w:p w:rsidR="000965A4" w:rsidRDefault="00861E5A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04320" behindDoc="1" locked="0" layoutInCell="1" allowOverlap="1" wp14:anchorId="32D724DE" wp14:editId="02AE2CB9">
            <wp:simplePos x="0" y="0"/>
            <wp:positionH relativeFrom="column">
              <wp:posOffset>199390</wp:posOffset>
            </wp:positionH>
            <wp:positionV relativeFrom="paragraph">
              <wp:posOffset>185420</wp:posOffset>
            </wp:positionV>
            <wp:extent cx="5088255" cy="3876675"/>
            <wp:effectExtent l="0" t="0" r="0" b="9525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5A4" w:rsidRDefault="000965A4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</w:p>
    <w:p w:rsidR="000965A4" w:rsidRDefault="000965A4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</w:p>
    <w:p w:rsidR="000965A4" w:rsidRDefault="000965A4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</w:p>
    <w:p w:rsidR="000965A4" w:rsidRDefault="000965A4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</w:p>
    <w:p w:rsidR="000965A4" w:rsidRDefault="000965A4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</w:p>
    <w:p w:rsidR="000965A4" w:rsidRPr="00AB6833" w:rsidRDefault="000965A4" w:rsidP="00035AD8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</w:p>
    <w:p w:rsidR="00396220" w:rsidRDefault="00396220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546ECA" w:rsidRDefault="00546ECA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546ECA" w:rsidRDefault="00546ECA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57404" w:rsidRDefault="00B574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57404" w:rsidRDefault="00B574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:rsidR="008C7F20" w:rsidRDefault="008C7F20" w:rsidP="00396220">
      <w:pPr>
        <w:spacing w:line="400" w:lineRule="exact"/>
      </w:pPr>
    </w:p>
    <w:p w:rsidR="008C7F20" w:rsidRDefault="008C7F20" w:rsidP="00396220">
      <w:pPr>
        <w:spacing w:line="400" w:lineRule="exact"/>
      </w:pPr>
    </w:p>
    <w:p w:rsidR="008C7F20" w:rsidRDefault="00861E5A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  <w:r w:rsidRPr="006836FC">
        <w:rPr>
          <w:noProof/>
        </w:rPr>
        <w:drawing>
          <wp:anchor distT="0" distB="0" distL="114300" distR="114300" simplePos="0" relativeHeight="251715584" behindDoc="1" locked="0" layoutInCell="1" allowOverlap="1" wp14:anchorId="4460A135" wp14:editId="4A153D4E">
            <wp:simplePos x="0" y="0"/>
            <wp:positionH relativeFrom="column">
              <wp:posOffset>19050</wp:posOffset>
            </wp:positionH>
            <wp:positionV relativeFrom="paragraph">
              <wp:posOffset>127000</wp:posOffset>
            </wp:positionV>
            <wp:extent cx="5267325" cy="857250"/>
            <wp:effectExtent l="0" t="0" r="952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:rsidR="00CE4F04" w:rsidRDefault="00CE4F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61E5A" w:rsidRDefault="00861E5A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61E5A" w:rsidRDefault="00861E5A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DC7287" w:rsidRPr="006836FC" w:rsidRDefault="00DC7287" w:rsidP="00DC7287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lastRenderedPageBreak/>
        <w:t>圖4：109年演出活動類別</w:t>
      </w:r>
      <w:proofErr w:type="gramStart"/>
      <w:r w:rsidRPr="006836FC">
        <w:rPr>
          <w:rFonts w:ascii="標楷體" w:eastAsia="標楷體" w:hAnsi="標楷體"/>
          <w:sz w:val="28"/>
          <w:szCs w:val="24"/>
        </w:rPr>
        <w:t>佔</w:t>
      </w:r>
      <w:proofErr w:type="gramEnd"/>
      <w:r w:rsidRPr="006836FC">
        <w:rPr>
          <w:rFonts w:ascii="標楷體" w:eastAsia="標楷體" w:hAnsi="標楷體"/>
          <w:sz w:val="28"/>
          <w:szCs w:val="24"/>
        </w:rPr>
        <w:t>比</w:t>
      </w:r>
    </w:p>
    <w:p w:rsidR="008C7F20" w:rsidRPr="00DC7287" w:rsidRDefault="008C7F20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C7F20" w:rsidRDefault="00861E5A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  <w:r w:rsidRPr="006836FC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16608" behindDoc="1" locked="0" layoutInCell="1" allowOverlap="1" wp14:anchorId="3829B1D1" wp14:editId="32977851">
            <wp:simplePos x="0" y="0"/>
            <wp:positionH relativeFrom="column">
              <wp:posOffset>266700</wp:posOffset>
            </wp:positionH>
            <wp:positionV relativeFrom="paragraph">
              <wp:posOffset>41275</wp:posOffset>
            </wp:positionV>
            <wp:extent cx="4974590" cy="411480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F20" w:rsidRDefault="008C7F20" w:rsidP="00396220">
      <w:pPr>
        <w:spacing w:line="400" w:lineRule="exact"/>
        <w:rPr>
          <w:rFonts w:ascii="標楷體" w:eastAsia="標楷體" w:hAnsi="標楷體"/>
          <w:noProof/>
          <w:sz w:val="32"/>
          <w:szCs w:val="32"/>
        </w:rPr>
      </w:pPr>
    </w:p>
    <w:p w:rsidR="00B57404" w:rsidRDefault="00B574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57404" w:rsidRDefault="00B574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57404" w:rsidRDefault="00B574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57404" w:rsidRDefault="00B574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57404" w:rsidRDefault="00B574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57404" w:rsidRDefault="00B574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57404" w:rsidRDefault="00B574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57404" w:rsidRDefault="00B57404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96220" w:rsidRDefault="00396220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96220" w:rsidRDefault="00396220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3818" w:rsidRDefault="00603818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03818" w:rsidRDefault="00603818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DC7287" w:rsidRDefault="00DC7287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DC7287" w:rsidRDefault="00DC7287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DC7287" w:rsidRDefault="00DC7287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DC7287" w:rsidRDefault="00DC7287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DC7287" w:rsidRDefault="00DC7287" w:rsidP="0039622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546ECA" w:rsidRPr="00D50FEC" w:rsidRDefault="00546ECA" w:rsidP="00546ECA">
      <w:pPr>
        <w:pStyle w:val="a7"/>
        <w:ind w:leftChars="0"/>
        <w:rPr>
          <w:rFonts w:ascii="標楷體" w:eastAsia="標楷體" w:hAnsi="標楷體"/>
          <w:sz w:val="28"/>
          <w:szCs w:val="32"/>
        </w:rPr>
      </w:pPr>
      <w:r w:rsidRPr="00E36FF3">
        <w:rPr>
          <w:rFonts w:ascii="標楷體" w:eastAsia="標楷體" w:hAnsi="標楷體" w:hint="eastAsia"/>
          <w:sz w:val="28"/>
          <w:szCs w:val="24"/>
        </w:rPr>
        <w:t>二、</w:t>
      </w:r>
      <w:r w:rsidR="00693AC0" w:rsidRPr="00E36FF3">
        <w:rPr>
          <w:rFonts w:ascii="標楷體" w:eastAsia="標楷體" w:hAnsi="標楷體" w:hint="eastAsia"/>
          <w:sz w:val="28"/>
          <w:szCs w:val="24"/>
        </w:rPr>
        <w:t>展演</w:t>
      </w:r>
      <w:r w:rsidR="00867EDD" w:rsidRPr="00E36FF3">
        <w:rPr>
          <w:rFonts w:ascii="標楷體" w:eastAsia="標楷體" w:hAnsi="標楷體" w:hint="eastAsia"/>
          <w:sz w:val="28"/>
          <w:szCs w:val="32"/>
        </w:rPr>
        <w:t>入場聆賞人次</w:t>
      </w:r>
      <w:r w:rsidRPr="00E36FF3">
        <w:rPr>
          <w:rFonts w:ascii="標楷體" w:eastAsia="標楷體" w:hAnsi="標楷體" w:hint="eastAsia"/>
          <w:sz w:val="28"/>
          <w:szCs w:val="24"/>
        </w:rPr>
        <w:t>及</w:t>
      </w:r>
      <w:r w:rsidR="00867EDD" w:rsidRPr="00E36FF3">
        <w:rPr>
          <w:rFonts w:ascii="標楷體" w:eastAsia="標楷體" w:hAnsi="標楷體" w:hint="eastAsia"/>
          <w:sz w:val="28"/>
          <w:szCs w:val="24"/>
        </w:rPr>
        <w:t>入場方式</w:t>
      </w:r>
    </w:p>
    <w:p w:rsidR="00867EDD" w:rsidRDefault="00546ECA" w:rsidP="00216C7E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proofErr w:type="gramStart"/>
      <w:r w:rsidRPr="00546ECA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Pr="00546ECA">
        <w:rPr>
          <w:rFonts w:ascii="標楷體" w:eastAsia="標楷體" w:hAnsi="標楷體" w:hint="eastAsia"/>
          <w:sz w:val="28"/>
          <w:szCs w:val="24"/>
        </w:rPr>
        <w:t>中心</w:t>
      </w:r>
      <w:r w:rsidR="00753A68">
        <w:rPr>
          <w:rFonts w:ascii="標楷體" w:eastAsia="標楷體" w:hAnsi="標楷體" w:hint="eastAsia"/>
          <w:sz w:val="28"/>
          <w:szCs w:val="24"/>
        </w:rPr>
        <w:t>105年至108年止，</w:t>
      </w:r>
      <w:r w:rsidRPr="00546ECA">
        <w:rPr>
          <w:rFonts w:ascii="標楷體" w:eastAsia="標楷體" w:hAnsi="標楷體" w:hint="eastAsia"/>
          <w:sz w:val="28"/>
          <w:szCs w:val="24"/>
        </w:rPr>
        <w:t>每年參與聆賞約為6萬人次左右，</w:t>
      </w:r>
      <w:r w:rsidR="004D1014">
        <w:rPr>
          <w:rFonts w:ascii="標楷體" w:eastAsia="標楷體" w:hAnsi="標楷體" w:hint="eastAsia"/>
          <w:sz w:val="28"/>
          <w:szCs w:val="24"/>
        </w:rPr>
        <w:t>而109年</w:t>
      </w:r>
      <w:r w:rsidR="004D1014" w:rsidRPr="00546ECA">
        <w:rPr>
          <w:rFonts w:ascii="標楷體" w:eastAsia="標楷體" w:hAnsi="標楷體" w:hint="eastAsia"/>
          <w:sz w:val="28"/>
          <w:szCs w:val="24"/>
        </w:rPr>
        <w:t>參與聆賞</w:t>
      </w:r>
      <w:r w:rsidR="004D1014">
        <w:rPr>
          <w:rFonts w:ascii="標楷體" w:eastAsia="標楷體" w:hAnsi="標楷體" w:hint="eastAsia"/>
          <w:sz w:val="28"/>
          <w:szCs w:val="24"/>
        </w:rPr>
        <w:t>上升至</w:t>
      </w:r>
      <w:r w:rsidR="004D1014" w:rsidRPr="00546ECA">
        <w:rPr>
          <w:rFonts w:ascii="標楷體" w:eastAsia="標楷體" w:hAnsi="標楷體" w:hint="eastAsia"/>
          <w:sz w:val="28"/>
          <w:szCs w:val="24"/>
        </w:rPr>
        <w:t>為</w:t>
      </w:r>
      <w:r w:rsidR="004D1014">
        <w:rPr>
          <w:rFonts w:ascii="標楷體" w:eastAsia="標楷體" w:hAnsi="標楷體" w:hint="eastAsia"/>
          <w:sz w:val="28"/>
          <w:szCs w:val="24"/>
        </w:rPr>
        <w:t>7.8</w:t>
      </w:r>
      <w:r w:rsidR="004D1014" w:rsidRPr="00546ECA">
        <w:rPr>
          <w:rFonts w:ascii="標楷體" w:eastAsia="標楷體" w:hAnsi="標楷體" w:hint="eastAsia"/>
          <w:sz w:val="28"/>
          <w:szCs w:val="24"/>
        </w:rPr>
        <w:t>萬人次</w:t>
      </w:r>
      <w:r w:rsidR="004D1014" w:rsidRPr="004D1014">
        <w:rPr>
          <w:rFonts w:ascii="標楷體" w:eastAsia="標楷體" w:hAnsi="標楷體"/>
          <w:sz w:val="28"/>
          <w:szCs w:val="24"/>
        </w:rPr>
        <w:t>（詳表4</w:t>
      </w:r>
      <w:r w:rsidR="00867EDD">
        <w:rPr>
          <w:rFonts w:ascii="標楷體" w:eastAsia="標楷體" w:hAnsi="標楷體"/>
          <w:sz w:val="28"/>
          <w:szCs w:val="24"/>
        </w:rPr>
        <w:t>及圖5</w:t>
      </w:r>
      <w:r w:rsidR="004D1014" w:rsidRPr="004D1014">
        <w:rPr>
          <w:rFonts w:ascii="標楷體" w:eastAsia="標楷體" w:hAnsi="標楷體"/>
          <w:sz w:val="28"/>
          <w:szCs w:val="24"/>
        </w:rPr>
        <w:t>）</w:t>
      </w:r>
      <w:r w:rsidR="004D1014">
        <w:rPr>
          <w:rFonts w:ascii="標楷體" w:eastAsia="標楷體" w:hAnsi="標楷體" w:hint="eastAsia"/>
          <w:sz w:val="28"/>
          <w:szCs w:val="24"/>
        </w:rPr>
        <w:t>，</w:t>
      </w:r>
      <w:r w:rsidR="00867EDD">
        <w:rPr>
          <w:rFonts w:ascii="標楷體" w:eastAsia="標楷體" w:hAnsi="標楷體" w:hint="eastAsia"/>
          <w:sz w:val="28"/>
          <w:szCs w:val="24"/>
        </w:rPr>
        <w:t>依</w:t>
      </w:r>
      <w:r w:rsidR="00216C7E">
        <w:rPr>
          <w:rFonts w:ascii="標楷體" w:eastAsia="標楷體" w:hAnsi="標楷體" w:hint="eastAsia"/>
          <w:sz w:val="28"/>
          <w:szCs w:val="24"/>
        </w:rPr>
        <w:t>近五年</w:t>
      </w:r>
      <w:r w:rsidR="00867EDD">
        <w:rPr>
          <w:rFonts w:ascii="標楷體" w:eastAsia="標楷體" w:hAnsi="標楷體" w:hint="eastAsia"/>
          <w:sz w:val="28"/>
          <w:szCs w:val="24"/>
        </w:rPr>
        <w:t>入場聆賞人次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比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（註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：自109年起僅分類售票及非售票進場人數計算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）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分析，非售票進場人數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44％，而售票進場人數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29％次之，管制入場人數則</w:t>
      </w:r>
      <w:proofErr w:type="gramStart"/>
      <w:r w:rsidR="00867EDD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867EDD">
        <w:rPr>
          <w:rFonts w:ascii="標楷體" w:eastAsia="標楷體" w:hAnsi="標楷體" w:hint="eastAsia"/>
          <w:sz w:val="28"/>
          <w:szCs w:val="24"/>
        </w:rPr>
        <w:t>27％</w:t>
      </w:r>
      <w:r w:rsidR="00867EDD" w:rsidRPr="00216C7E">
        <w:rPr>
          <w:rFonts w:ascii="標楷體" w:eastAsia="標楷體" w:hAnsi="標楷體" w:hint="eastAsia"/>
          <w:sz w:val="28"/>
          <w:szCs w:val="24"/>
        </w:rPr>
        <w:t>（詳圖6）</w:t>
      </w:r>
      <w:r w:rsidR="00867EDD">
        <w:rPr>
          <w:rFonts w:ascii="標楷體" w:eastAsia="標楷體" w:hAnsi="標楷體" w:hint="eastAsia"/>
          <w:sz w:val="28"/>
          <w:szCs w:val="24"/>
        </w:rPr>
        <w:t>。</w:t>
      </w:r>
    </w:p>
    <w:p w:rsidR="00867EDD" w:rsidRPr="00ED00F1" w:rsidRDefault="00867EDD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</w:p>
    <w:p w:rsidR="00216C7E" w:rsidRDefault="00216C7E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lastRenderedPageBreak/>
        <w:drawing>
          <wp:anchor distT="0" distB="0" distL="114300" distR="114300" simplePos="0" relativeHeight="251720704" behindDoc="1" locked="0" layoutInCell="1" allowOverlap="1" wp14:anchorId="0C472C0B" wp14:editId="21715360">
            <wp:simplePos x="0" y="0"/>
            <wp:positionH relativeFrom="column">
              <wp:posOffset>-37465</wp:posOffset>
            </wp:positionH>
            <wp:positionV relativeFrom="paragraph">
              <wp:posOffset>85725</wp:posOffset>
            </wp:positionV>
            <wp:extent cx="5273675" cy="1164590"/>
            <wp:effectExtent l="0" t="0" r="317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C7E" w:rsidRDefault="00216C7E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</w:p>
    <w:p w:rsidR="00216C7E" w:rsidRDefault="00216C7E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</w:p>
    <w:p w:rsidR="00216C7E" w:rsidRPr="006836FC" w:rsidRDefault="00216C7E" w:rsidP="00216C7E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t>圖</w:t>
      </w:r>
      <w:r>
        <w:rPr>
          <w:rFonts w:ascii="標楷體" w:eastAsia="標楷體" w:hAnsi="標楷體"/>
          <w:sz w:val="28"/>
          <w:szCs w:val="24"/>
        </w:rPr>
        <w:t>5</w:t>
      </w:r>
      <w:r w:rsidRPr="006836FC">
        <w:rPr>
          <w:rFonts w:ascii="標楷體" w:eastAsia="標楷體" w:hAnsi="標楷體"/>
          <w:sz w:val="28"/>
          <w:szCs w:val="24"/>
        </w:rPr>
        <w:t>：</w:t>
      </w:r>
      <w:r>
        <w:rPr>
          <w:rFonts w:ascii="標楷體" w:eastAsia="標楷體" w:hAnsi="標楷體"/>
          <w:sz w:val="28"/>
          <w:szCs w:val="24"/>
        </w:rPr>
        <w:t>105-109年入場聆賞人次</w:t>
      </w:r>
    </w:p>
    <w:p w:rsidR="00216C7E" w:rsidRPr="00216C7E" w:rsidRDefault="00216C7E" w:rsidP="00216C7E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5221986" cy="307657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86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C7E" w:rsidRDefault="00216C7E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</w:p>
    <w:p w:rsidR="00216C7E" w:rsidRDefault="00216C7E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</w:p>
    <w:p w:rsidR="00216C7E" w:rsidRDefault="00216C7E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</w:p>
    <w:p w:rsidR="00216C7E" w:rsidRDefault="00216C7E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</w:p>
    <w:p w:rsidR="00216C7E" w:rsidRDefault="00216C7E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</w:p>
    <w:p w:rsidR="00216C7E" w:rsidRDefault="00216C7E" w:rsidP="00216C7E">
      <w:pPr>
        <w:jc w:val="center"/>
        <w:rPr>
          <w:rFonts w:ascii="標楷體" w:eastAsia="標楷體" w:hAnsi="標楷體"/>
          <w:sz w:val="28"/>
          <w:szCs w:val="24"/>
        </w:rPr>
      </w:pPr>
    </w:p>
    <w:p w:rsidR="00216C7E" w:rsidRPr="00DD676C" w:rsidRDefault="00216C7E" w:rsidP="00216C7E">
      <w:pPr>
        <w:jc w:val="center"/>
        <w:rPr>
          <w:rFonts w:ascii="標楷體" w:eastAsia="標楷體" w:hAnsi="標楷體"/>
          <w:sz w:val="28"/>
          <w:szCs w:val="24"/>
        </w:rPr>
      </w:pPr>
      <w:r w:rsidRPr="00DD676C"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22752" behindDoc="1" locked="0" layoutInCell="1" allowOverlap="1" wp14:anchorId="286C7351" wp14:editId="6390B893">
            <wp:simplePos x="0" y="0"/>
            <wp:positionH relativeFrom="column">
              <wp:posOffset>-84990</wp:posOffset>
            </wp:positionH>
            <wp:positionV relativeFrom="paragraph">
              <wp:posOffset>375920</wp:posOffset>
            </wp:positionV>
            <wp:extent cx="5335905" cy="3347720"/>
            <wp:effectExtent l="0" t="0" r="0" b="508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33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76C">
        <w:rPr>
          <w:rFonts w:ascii="標楷體" w:eastAsia="標楷體" w:hAnsi="標楷體"/>
          <w:sz w:val="28"/>
          <w:szCs w:val="24"/>
        </w:rPr>
        <w:t>圖6：105-109年入場聆賞人次</w:t>
      </w:r>
      <w:proofErr w:type="gramStart"/>
      <w:r w:rsidRPr="00DD676C">
        <w:rPr>
          <w:rFonts w:ascii="標楷體" w:eastAsia="標楷體" w:hAnsi="標楷體"/>
          <w:sz w:val="28"/>
          <w:szCs w:val="24"/>
        </w:rPr>
        <w:t>佔</w:t>
      </w:r>
      <w:proofErr w:type="gramEnd"/>
      <w:r w:rsidRPr="00DD676C">
        <w:rPr>
          <w:rFonts w:ascii="標楷體" w:eastAsia="標楷體" w:hAnsi="標楷體"/>
          <w:sz w:val="28"/>
          <w:szCs w:val="24"/>
        </w:rPr>
        <w:t>比</w:t>
      </w:r>
    </w:p>
    <w:p w:rsidR="00216C7E" w:rsidRDefault="00216C7E" w:rsidP="00216C7E">
      <w:pPr>
        <w:jc w:val="center"/>
        <w:rPr>
          <w:rFonts w:ascii="標楷體" w:eastAsia="標楷體" w:hAnsi="標楷體"/>
          <w:sz w:val="28"/>
          <w:szCs w:val="24"/>
        </w:rPr>
      </w:pPr>
    </w:p>
    <w:p w:rsidR="00216C7E" w:rsidRDefault="00216C7E" w:rsidP="00216C7E">
      <w:pPr>
        <w:jc w:val="center"/>
        <w:rPr>
          <w:rFonts w:ascii="標楷體" w:eastAsia="標楷體" w:hAnsi="標楷體"/>
          <w:sz w:val="28"/>
          <w:szCs w:val="24"/>
        </w:rPr>
      </w:pPr>
    </w:p>
    <w:p w:rsidR="00216C7E" w:rsidRDefault="00216C7E" w:rsidP="00216C7E">
      <w:pPr>
        <w:jc w:val="center"/>
        <w:rPr>
          <w:rFonts w:ascii="標楷體" w:eastAsia="標楷體" w:hAnsi="標楷體"/>
          <w:sz w:val="28"/>
          <w:szCs w:val="24"/>
        </w:rPr>
      </w:pPr>
    </w:p>
    <w:p w:rsidR="00216C7E" w:rsidRDefault="00216C7E" w:rsidP="00216C7E">
      <w:pPr>
        <w:jc w:val="center"/>
        <w:rPr>
          <w:rFonts w:ascii="標楷體" w:eastAsia="標楷體" w:hAnsi="標楷體"/>
          <w:sz w:val="28"/>
          <w:szCs w:val="24"/>
        </w:rPr>
      </w:pPr>
    </w:p>
    <w:p w:rsidR="00216C7E" w:rsidRDefault="00216C7E" w:rsidP="00216C7E">
      <w:pPr>
        <w:jc w:val="center"/>
        <w:rPr>
          <w:rFonts w:ascii="標楷體" w:eastAsia="標楷體" w:hAnsi="標楷體"/>
          <w:sz w:val="28"/>
          <w:szCs w:val="24"/>
        </w:rPr>
      </w:pPr>
    </w:p>
    <w:p w:rsidR="00216C7E" w:rsidRPr="00216C7E" w:rsidRDefault="00216C7E" w:rsidP="00216C7E">
      <w:pPr>
        <w:jc w:val="center"/>
        <w:rPr>
          <w:rFonts w:ascii="標楷體" w:eastAsia="標楷體" w:hAnsi="標楷體"/>
          <w:sz w:val="28"/>
          <w:szCs w:val="24"/>
        </w:rPr>
      </w:pPr>
    </w:p>
    <w:p w:rsidR="00216C7E" w:rsidRDefault="00216C7E" w:rsidP="00546ECA">
      <w:pPr>
        <w:pStyle w:val="a7"/>
        <w:ind w:leftChars="0"/>
        <w:rPr>
          <w:rFonts w:ascii="標楷體" w:eastAsia="標楷體" w:hAnsi="標楷體"/>
          <w:sz w:val="28"/>
          <w:szCs w:val="24"/>
        </w:rPr>
      </w:pPr>
    </w:p>
    <w:p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截至108年止，舉辦活動展演形式之資料統計僅依表演活動型態做細分類統計，例如音樂類、舞蹈類…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等，自109年起「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中心」轉型為「行政法人」後，舉辦活動演出形式之統計資料做調整，不再侷限以演出活動類型細分為主，而分別以「演出活動」、「藝文展覽」、「教育推展」等舉辦活動類型及</w:t>
      </w:r>
      <w:r w:rsidRPr="00795B36">
        <w:rPr>
          <w:rFonts w:ascii="標楷體" w:eastAsia="標楷體" w:hAnsi="標楷體"/>
          <w:sz w:val="28"/>
          <w:szCs w:val="24"/>
        </w:rPr>
        <w:t>提供民眾辦理</w:t>
      </w:r>
      <w:r>
        <w:rPr>
          <w:rFonts w:ascii="標楷體" w:eastAsia="標楷體" w:hAnsi="標楷體"/>
          <w:sz w:val="28"/>
          <w:szCs w:val="24"/>
        </w:rPr>
        <w:t>活動、</w:t>
      </w:r>
      <w:r w:rsidRPr="00795B36">
        <w:rPr>
          <w:rFonts w:ascii="標楷體" w:eastAsia="標楷體" w:hAnsi="標楷體"/>
          <w:sz w:val="28"/>
          <w:szCs w:val="24"/>
        </w:rPr>
        <w:t>演講、會議與教學課程使用</w:t>
      </w:r>
      <w:r>
        <w:rPr>
          <w:rFonts w:ascii="標楷體" w:eastAsia="標楷體" w:hAnsi="標楷體"/>
          <w:sz w:val="28"/>
          <w:szCs w:val="24"/>
        </w:rPr>
        <w:t>等「場域空間」之面向做資料統計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Pr="004B591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針對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109</w:t>
      </w:r>
      <w:proofErr w:type="gramEnd"/>
      <w:r>
        <w:rPr>
          <w:rFonts w:ascii="標楷體" w:eastAsia="標楷體" w:hAnsi="標楷體" w:hint="eastAsia"/>
          <w:sz w:val="28"/>
          <w:szCs w:val="24"/>
        </w:rPr>
        <w:t>年度入場聆賞人次作分析，依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109</w:t>
      </w:r>
      <w:proofErr w:type="gramEnd"/>
      <w:r>
        <w:rPr>
          <w:rFonts w:ascii="標楷體" w:eastAsia="標楷體" w:hAnsi="標楷體" w:hint="eastAsia"/>
          <w:sz w:val="28"/>
          <w:szCs w:val="24"/>
        </w:rPr>
        <w:t>年度各類展演活動入場聆賞人次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4"/>
        </w:rPr>
        <w:t>比，以藝文展覽比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>
        <w:rPr>
          <w:rFonts w:ascii="標楷體" w:eastAsia="標楷體" w:hAnsi="標楷體"/>
          <w:sz w:val="28"/>
          <w:szCs w:val="24"/>
        </w:rPr>
        <w:t>60</w:t>
      </w:r>
      <w:r>
        <w:rPr>
          <w:rFonts w:ascii="標楷體" w:eastAsia="標楷體" w:hAnsi="標楷體" w:hint="eastAsia"/>
          <w:sz w:val="28"/>
          <w:szCs w:val="24"/>
        </w:rPr>
        <w:t>％為最高</w:t>
      </w:r>
      <w:r>
        <w:rPr>
          <w:rFonts w:ascii="標楷體" w:eastAsia="標楷體" w:hAnsi="標楷體"/>
          <w:sz w:val="28"/>
          <w:szCs w:val="24"/>
        </w:rPr>
        <w:t>，演出活動</w:t>
      </w:r>
      <w:proofErr w:type="gramStart"/>
      <w:r>
        <w:rPr>
          <w:rFonts w:ascii="標楷體" w:eastAsia="標楷體" w:hAnsi="標楷體"/>
          <w:sz w:val="28"/>
          <w:szCs w:val="24"/>
        </w:rPr>
        <w:t>佔</w:t>
      </w:r>
      <w:proofErr w:type="gramEnd"/>
      <w:r>
        <w:rPr>
          <w:rFonts w:ascii="標楷體" w:eastAsia="標楷體" w:hAnsi="標楷體"/>
          <w:sz w:val="28"/>
          <w:szCs w:val="24"/>
        </w:rPr>
        <w:t>34％次之，教育推廣為4％，而場域空間則為2％（詳表5及圖7）。</w:t>
      </w:r>
    </w:p>
    <w:p w:rsidR="00A96466" w:rsidRDefault="00A96466" w:rsidP="00A96466">
      <w:pPr>
        <w:pStyle w:val="a7"/>
        <w:ind w:leftChars="0" w:left="482" w:firstLineChars="200" w:firstLine="480"/>
        <w:rPr>
          <w:rFonts w:ascii="標楷體" w:eastAsia="標楷體" w:hAnsi="標楷體"/>
          <w:sz w:val="28"/>
          <w:szCs w:val="24"/>
        </w:rPr>
      </w:pPr>
      <w:r w:rsidRPr="00A96466">
        <w:rPr>
          <w:rFonts w:hint="eastAsia"/>
          <w:noProof/>
        </w:rPr>
        <w:drawing>
          <wp:anchor distT="0" distB="0" distL="114300" distR="114300" simplePos="0" relativeHeight="251737088" behindDoc="1" locked="0" layoutInCell="1" allowOverlap="1" wp14:anchorId="03D982CF" wp14:editId="4A7BF24D">
            <wp:simplePos x="0" y="0"/>
            <wp:positionH relativeFrom="column">
              <wp:posOffset>85725</wp:posOffset>
            </wp:positionH>
            <wp:positionV relativeFrom="paragraph">
              <wp:posOffset>438150</wp:posOffset>
            </wp:positionV>
            <wp:extent cx="5424170" cy="800100"/>
            <wp:effectExtent l="0" t="0" r="508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466" w:rsidRP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Pr="00867EDD" w:rsidRDefault="00A96466" w:rsidP="00A96466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lastRenderedPageBreak/>
        <w:t>圖</w:t>
      </w:r>
      <w:r>
        <w:rPr>
          <w:rFonts w:ascii="標楷體" w:eastAsia="標楷體" w:hAnsi="標楷體"/>
          <w:sz w:val="28"/>
          <w:szCs w:val="24"/>
        </w:rPr>
        <w:t>7</w:t>
      </w:r>
      <w:r w:rsidRPr="006836FC">
        <w:rPr>
          <w:rFonts w:ascii="標楷體" w:eastAsia="標楷體" w:hAnsi="標楷體"/>
          <w:sz w:val="28"/>
          <w:szCs w:val="24"/>
        </w:rPr>
        <w:t>：109年</w:t>
      </w:r>
      <w:r>
        <w:rPr>
          <w:rFonts w:ascii="標楷體" w:eastAsia="標楷體" w:hAnsi="標楷體"/>
          <w:sz w:val="28"/>
          <w:szCs w:val="24"/>
        </w:rPr>
        <w:t>各類展演</w:t>
      </w:r>
      <w:r w:rsidRPr="006836FC">
        <w:rPr>
          <w:rFonts w:ascii="標楷體" w:eastAsia="標楷體" w:hAnsi="標楷體"/>
          <w:sz w:val="28"/>
          <w:szCs w:val="24"/>
        </w:rPr>
        <w:t>活動</w:t>
      </w:r>
      <w:r>
        <w:rPr>
          <w:rFonts w:ascii="標楷體" w:eastAsia="標楷體" w:hAnsi="標楷體"/>
          <w:sz w:val="28"/>
          <w:szCs w:val="24"/>
        </w:rPr>
        <w:t>入場聆賞人次</w:t>
      </w:r>
      <w:proofErr w:type="gramStart"/>
      <w:r w:rsidRPr="006836FC">
        <w:rPr>
          <w:rFonts w:ascii="標楷體" w:eastAsia="標楷體" w:hAnsi="標楷體"/>
          <w:sz w:val="28"/>
          <w:szCs w:val="24"/>
        </w:rPr>
        <w:t>佔</w:t>
      </w:r>
      <w:proofErr w:type="gramEnd"/>
      <w:r w:rsidRPr="006836FC">
        <w:rPr>
          <w:rFonts w:ascii="標楷體" w:eastAsia="標楷體" w:hAnsi="標楷體"/>
          <w:sz w:val="28"/>
          <w:szCs w:val="24"/>
        </w:rPr>
        <w:t>比</w:t>
      </w:r>
    </w:p>
    <w:p w:rsidR="00A96466" w:rsidRP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36064" behindDoc="1" locked="0" layoutInCell="1" allowOverlap="1" wp14:anchorId="071F408A" wp14:editId="54FB95B2">
            <wp:simplePos x="0" y="0"/>
            <wp:positionH relativeFrom="column">
              <wp:posOffset>-5715</wp:posOffset>
            </wp:positionH>
            <wp:positionV relativeFrom="paragraph">
              <wp:posOffset>171450</wp:posOffset>
            </wp:positionV>
            <wp:extent cx="5456555" cy="3182620"/>
            <wp:effectExtent l="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Pr="00A96466" w:rsidRDefault="004D1014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而</w:t>
      </w:r>
      <w:r w:rsidR="00216C7E" w:rsidRPr="00A96466">
        <w:rPr>
          <w:rFonts w:ascii="標楷體" w:eastAsia="標楷體" w:hAnsi="標楷體" w:hint="eastAsia"/>
          <w:sz w:val="28"/>
          <w:szCs w:val="24"/>
        </w:rPr>
        <w:t>近五年展演入場方式</w:t>
      </w:r>
      <w:proofErr w:type="gramStart"/>
      <w:r w:rsidR="00FB6B5F" w:rsidRPr="00A96466">
        <w:rPr>
          <w:rFonts w:ascii="標楷體" w:eastAsia="標楷體" w:hAnsi="標楷體" w:hint="eastAsia"/>
          <w:sz w:val="28"/>
          <w:szCs w:val="24"/>
        </w:rPr>
        <w:t>（註</w:t>
      </w:r>
      <w:proofErr w:type="gramEnd"/>
      <w:r w:rsidR="00FB6B5F" w:rsidRPr="00A96466">
        <w:rPr>
          <w:rFonts w:ascii="標楷體" w:eastAsia="標楷體" w:hAnsi="標楷體" w:hint="eastAsia"/>
          <w:sz w:val="28"/>
          <w:szCs w:val="24"/>
        </w:rPr>
        <w:t>：自</w:t>
      </w:r>
      <w:proofErr w:type="gramStart"/>
      <w:r w:rsidR="00FB6B5F" w:rsidRPr="00A96466">
        <w:rPr>
          <w:rFonts w:ascii="標楷體" w:eastAsia="標楷體" w:hAnsi="標楷體" w:hint="eastAsia"/>
          <w:sz w:val="28"/>
          <w:szCs w:val="24"/>
        </w:rPr>
        <w:t>109年度起僅分類</w:t>
      </w:r>
      <w:proofErr w:type="gramEnd"/>
      <w:r w:rsidR="00FB6B5F" w:rsidRPr="00A96466">
        <w:rPr>
          <w:rFonts w:ascii="標楷體" w:eastAsia="標楷體" w:hAnsi="標楷體" w:hint="eastAsia"/>
          <w:sz w:val="28"/>
          <w:szCs w:val="24"/>
        </w:rPr>
        <w:t>售票及非售票方式入場</w:t>
      </w:r>
      <w:proofErr w:type="gramStart"/>
      <w:r w:rsidR="00FB6B5F" w:rsidRPr="00A96466">
        <w:rPr>
          <w:rFonts w:ascii="標楷體" w:eastAsia="標楷體" w:hAnsi="標楷體" w:hint="eastAsia"/>
          <w:sz w:val="28"/>
          <w:szCs w:val="24"/>
        </w:rPr>
        <w:t>）</w:t>
      </w:r>
      <w:proofErr w:type="gramEnd"/>
      <w:r w:rsidR="00216C7E" w:rsidRPr="00A96466">
        <w:rPr>
          <w:rFonts w:ascii="標楷體" w:eastAsia="標楷體" w:hAnsi="標楷體" w:hint="eastAsia"/>
          <w:sz w:val="28"/>
          <w:szCs w:val="24"/>
        </w:rPr>
        <w:t>，</w:t>
      </w:r>
      <w:r w:rsidR="00FB6B5F" w:rsidRPr="00A96466">
        <w:rPr>
          <w:rFonts w:ascii="標楷體" w:eastAsia="標楷體" w:hAnsi="標楷體" w:hint="eastAsia"/>
          <w:sz w:val="28"/>
          <w:szCs w:val="24"/>
        </w:rPr>
        <w:t>每年平均舉辦175場次，</w:t>
      </w:r>
      <w:proofErr w:type="gramStart"/>
      <w:r w:rsidR="00FB6B5F" w:rsidRPr="00A96466">
        <w:rPr>
          <w:rFonts w:ascii="標楷體" w:eastAsia="標楷體" w:hAnsi="標楷體" w:hint="eastAsia"/>
          <w:sz w:val="28"/>
          <w:szCs w:val="24"/>
        </w:rPr>
        <w:t>109</w:t>
      </w:r>
      <w:proofErr w:type="gramEnd"/>
      <w:r w:rsidR="00FB6B5F" w:rsidRPr="00A96466">
        <w:rPr>
          <w:rFonts w:ascii="標楷體" w:eastAsia="標楷體" w:hAnsi="標楷體" w:hint="eastAsia"/>
          <w:sz w:val="28"/>
          <w:szCs w:val="24"/>
        </w:rPr>
        <w:t>年度舉辦總場次上升至198場，而售票方式仍</w:t>
      </w:r>
      <w:proofErr w:type="gramStart"/>
      <w:r w:rsidR="00FB6B5F" w:rsidRPr="00A96466">
        <w:rPr>
          <w:rFonts w:ascii="標楷體" w:eastAsia="標楷體" w:hAnsi="標楷體" w:hint="eastAsia"/>
          <w:sz w:val="28"/>
          <w:szCs w:val="24"/>
        </w:rPr>
        <w:t>佔大宗，</w:t>
      </w:r>
      <w:proofErr w:type="gramEnd"/>
      <w:r w:rsidR="00FB6B5F" w:rsidRPr="00A96466">
        <w:rPr>
          <w:rFonts w:ascii="標楷體" w:eastAsia="標楷體" w:hAnsi="標楷體" w:hint="eastAsia"/>
          <w:sz w:val="28"/>
          <w:szCs w:val="24"/>
        </w:rPr>
        <w:t>每年舉辦場次平均73場次（詳表</w:t>
      </w:r>
      <w:r w:rsidR="00A96466">
        <w:rPr>
          <w:rFonts w:ascii="標楷體" w:eastAsia="標楷體" w:hAnsi="標楷體" w:hint="eastAsia"/>
          <w:sz w:val="28"/>
          <w:szCs w:val="24"/>
        </w:rPr>
        <w:t>6</w:t>
      </w:r>
      <w:r w:rsidR="00DD676C" w:rsidRPr="00A96466">
        <w:rPr>
          <w:rFonts w:ascii="標楷體" w:eastAsia="標楷體" w:hAnsi="標楷體" w:hint="eastAsia"/>
          <w:sz w:val="28"/>
          <w:szCs w:val="24"/>
        </w:rPr>
        <w:t>及圖</w:t>
      </w:r>
      <w:r w:rsidR="00A96466">
        <w:rPr>
          <w:rFonts w:ascii="標楷體" w:eastAsia="標楷體" w:hAnsi="標楷體" w:hint="eastAsia"/>
          <w:sz w:val="28"/>
          <w:szCs w:val="24"/>
        </w:rPr>
        <w:t>8</w:t>
      </w:r>
      <w:r w:rsidR="00FB6B5F" w:rsidRPr="00A96466">
        <w:rPr>
          <w:rFonts w:ascii="標楷體" w:eastAsia="標楷體" w:hAnsi="標楷體" w:hint="eastAsia"/>
          <w:sz w:val="28"/>
          <w:szCs w:val="24"/>
        </w:rPr>
        <w:t>）</w:t>
      </w:r>
      <w:r w:rsidR="00DD676C" w:rsidRPr="00A96466">
        <w:rPr>
          <w:rFonts w:ascii="標楷體" w:eastAsia="標楷體" w:hAnsi="標楷體" w:hint="eastAsia"/>
          <w:sz w:val="28"/>
          <w:szCs w:val="24"/>
        </w:rPr>
        <w:t>。</w:t>
      </w:r>
    </w:p>
    <w:p w:rsidR="00DD676C" w:rsidRDefault="00A96466" w:rsidP="00DD676C">
      <w:pPr>
        <w:pStyle w:val="a7"/>
        <w:ind w:leftChars="0" w:left="482" w:firstLineChars="200" w:firstLine="480"/>
      </w:pPr>
      <w:r w:rsidRPr="00A96466">
        <w:rPr>
          <w:rFonts w:hint="eastAsia"/>
          <w:noProof/>
        </w:rPr>
        <w:drawing>
          <wp:anchor distT="0" distB="0" distL="114300" distR="114300" simplePos="0" relativeHeight="251738112" behindDoc="1" locked="0" layoutInCell="1" allowOverlap="1" wp14:anchorId="66A45086" wp14:editId="48B20590">
            <wp:simplePos x="0" y="0"/>
            <wp:positionH relativeFrom="column">
              <wp:posOffset>190500</wp:posOffset>
            </wp:positionH>
            <wp:positionV relativeFrom="paragraph">
              <wp:posOffset>180975</wp:posOffset>
            </wp:positionV>
            <wp:extent cx="5086350" cy="2324100"/>
            <wp:effectExtent l="0" t="0" r="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76C" w:rsidRDefault="00DD676C" w:rsidP="00A96466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DD676C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lastRenderedPageBreak/>
        <w:t>圖</w:t>
      </w:r>
      <w:r w:rsidR="00A96466">
        <w:rPr>
          <w:rFonts w:ascii="標楷體" w:eastAsia="標楷體" w:hAnsi="標楷體"/>
          <w:sz w:val="28"/>
          <w:szCs w:val="24"/>
        </w:rPr>
        <w:t>8</w:t>
      </w:r>
      <w:r w:rsidRPr="006836FC">
        <w:rPr>
          <w:rFonts w:ascii="標楷體" w:eastAsia="標楷體" w:hAnsi="標楷體"/>
          <w:sz w:val="28"/>
          <w:szCs w:val="24"/>
        </w:rPr>
        <w:t>：</w:t>
      </w:r>
      <w:r>
        <w:rPr>
          <w:rFonts w:ascii="標楷體" w:eastAsia="標楷體" w:hAnsi="標楷體"/>
          <w:sz w:val="28"/>
          <w:szCs w:val="24"/>
        </w:rPr>
        <w:t>105-109年展演入場方式</w:t>
      </w: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27872" behindDoc="1" locked="0" layoutInCell="1" allowOverlap="1" wp14:anchorId="399F0684" wp14:editId="24C9BC50">
            <wp:simplePos x="0" y="0"/>
            <wp:positionH relativeFrom="column">
              <wp:posOffset>38100</wp:posOffset>
            </wp:positionH>
            <wp:positionV relativeFrom="paragraph">
              <wp:posOffset>180975</wp:posOffset>
            </wp:positionV>
            <wp:extent cx="5406390" cy="2838450"/>
            <wp:effectExtent l="0" t="0" r="381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Pr="00DD676C" w:rsidRDefault="00DD676C" w:rsidP="00DD676C">
      <w:pPr>
        <w:rPr>
          <w:rFonts w:ascii="標楷體" w:eastAsia="標楷體" w:hAnsi="標楷體"/>
          <w:sz w:val="28"/>
          <w:szCs w:val="24"/>
        </w:rPr>
      </w:pPr>
    </w:p>
    <w:p w:rsidR="00BE2919" w:rsidRDefault="00FB6B5F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而</w:t>
      </w:r>
      <w:r w:rsidR="00216C7E">
        <w:rPr>
          <w:rFonts w:ascii="標楷體" w:eastAsia="標楷體" w:hAnsi="標楷體" w:hint="eastAsia"/>
          <w:sz w:val="28"/>
          <w:szCs w:val="24"/>
        </w:rPr>
        <w:t>自</w:t>
      </w:r>
      <w:r w:rsidR="004D1014">
        <w:rPr>
          <w:rFonts w:ascii="標楷體" w:eastAsia="標楷體" w:hAnsi="標楷體" w:hint="eastAsia"/>
          <w:sz w:val="28"/>
          <w:szCs w:val="24"/>
        </w:rPr>
        <w:t>105年至108年止，</w:t>
      </w:r>
      <w:r w:rsidR="00546ECA" w:rsidRPr="00546ECA">
        <w:rPr>
          <w:rFonts w:ascii="標楷體" w:eastAsia="標楷體" w:hAnsi="標楷體" w:hint="eastAsia"/>
          <w:sz w:val="28"/>
          <w:szCs w:val="24"/>
        </w:rPr>
        <w:t>其中售票進場</w:t>
      </w:r>
      <w:r w:rsidR="00ED00F1">
        <w:rPr>
          <w:rFonts w:ascii="標楷體" w:eastAsia="標楷體" w:hAnsi="標楷體" w:hint="eastAsia"/>
          <w:sz w:val="28"/>
          <w:szCs w:val="24"/>
        </w:rPr>
        <w:t>比</w:t>
      </w:r>
      <w:proofErr w:type="gramStart"/>
      <w:r w:rsidR="00820052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DD676C">
        <w:rPr>
          <w:rFonts w:ascii="標楷體" w:eastAsia="標楷體" w:hAnsi="標楷體" w:hint="eastAsia"/>
          <w:sz w:val="28"/>
          <w:szCs w:val="24"/>
        </w:rPr>
        <w:t>42％</w:t>
      </w:r>
      <w:r w:rsidR="00ED00F1">
        <w:rPr>
          <w:rFonts w:ascii="標楷體" w:eastAsia="標楷體" w:hAnsi="標楷體" w:hint="eastAsia"/>
          <w:sz w:val="28"/>
          <w:szCs w:val="24"/>
        </w:rPr>
        <w:t>為最高</w:t>
      </w:r>
      <w:r w:rsidR="00546ECA" w:rsidRPr="00546ECA">
        <w:rPr>
          <w:rFonts w:ascii="標楷體" w:eastAsia="標楷體" w:hAnsi="標楷體" w:hint="eastAsia"/>
          <w:sz w:val="28"/>
          <w:szCs w:val="24"/>
        </w:rPr>
        <w:t>、管制入場</w:t>
      </w:r>
      <w:proofErr w:type="gramStart"/>
      <w:r w:rsidR="00ED00F1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ED00F1">
        <w:rPr>
          <w:rFonts w:ascii="標楷體" w:eastAsia="標楷體" w:hAnsi="標楷體" w:hint="eastAsia"/>
          <w:sz w:val="28"/>
          <w:szCs w:val="24"/>
        </w:rPr>
        <w:t>26％次之，索票方式入場為17％，而自由入場則為15％</w:t>
      </w:r>
      <w:r w:rsidR="004D1014">
        <w:rPr>
          <w:rFonts w:ascii="標楷體" w:eastAsia="標楷體" w:hAnsi="標楷體" w:hint="eastAsia"/>
          <w:sz w:val="28"/>
          <w:szCs w:val="24"/>
        </w:rPr>
        <w:t>（詳圖</w:t>
      </w:r>
      <w:r w:rsidR="00A96466">
        <w:rPr>
          <w:rFonts w:ascii="標楷體" w:eastAsia="標楷體" w:hAnsi="標楷體" w:hint="eastAsia"/>
          <w:sz w:val="28"/>
          <w:szCs w:val="24"/>
        </w:rPr>
        <w:t>9</w:t>
      </w:r>
      <w:r w:rsidR="004D1014">
        <w:rPr>
          <w:rFonts w:ascii="標楷體" w:eastAsia="標楷體" w:hAnsi="標楷體" w:hint="eastAsia"/>
          <w:sz w:val="28"/>
          <w:szCs w:val="24"/>
        </w:rPr>
        <w:t>）</w:t>
      </w:r>
      <w:r w:rsidR="00ED00F1">
        <w:rPr>
          <w:rFonts w:ascii="標楷體" w:eastAsia="標楷體" w:hAnsi="標楷體" w:hint="eastAsia"/>
          <w:sz w:val="28"/>
          <w:szCs w:val="24"/>
        </w:rPr>
        <w:t>；而自109年起「</w:t>
      </w:r>
      <w:proofErr w:type="gramStart"/>
      <w:r w:rsidR="00ED00F1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="00ED00F1">
        <w:rPr>
          <w:rFonts w:ascii="標楷體" w:eastAsia="標楷體" w:hAnsi="標楷體" w:hint="eastAsia"/>
          <w:sz w:val="28"/>
          <w:szCs w:val="24"/>
        </w:rPr>
        <w:t>中心」轉型為「行政法人」後，舉辦活動入場方式之統計資料做調整，</w:t>
      </w:r>
      <w:r w:rsidR="00EE73F4">
        <w:rPr>
          <w:rFonts w:ascii="標楷體" w:eastAsia="標楷體" w:hAnsi="標楷體" w:hint="eastAsia"/>
          <w:sz w:val="28"/>
          <w:szCs w:val="24"/>
        </w:rPr>
        <w:t>將展演入場</w:t>
      </w:r>
      <w:proofErr w:type="gramStart"/>
      <w:r w:rsidR="00EE73F4">
        <w:rPr>
          <w:rFonts w:ascii="標楷體" w:eastAsia="標楷體" w:hAnsi="標楷體" w:hint="eastAsia"/>
          <w:sz w:val="28"/>
          <w:szCs w:val="24"/>
        </w:rPr>
        <w:t>方式</w:t>
      </w:r>
      <w:r w:rsidR="00E36FF3">
        <w:rPr>
          <w:rFonts w:ascii="標楷體" w:eastAsia="標楷體" w:hAnsi="標楷體" w:hint="eastAsia"/>
          <w:sz w:val="28"/>
          <w:szCs w:val="24"/>
        </w:rPr>
        <w:t>改</w:t>
      </w:r>
      <w:r w:rsidR="00820052">
        <w:rPr>
          <w:rFonts w:ascii="標楷體" w:eastAsia="標楷體" w:hAnsi="標楷體" w:hint="eastAsia"/>
          <w:sz w:val="28"/>
          <w:szCs w:val="24"/>
        </w:rPr>
        <w:t>僅以</w:t>
      </w:r>
      <w:proofErr w:type="gramEnd"/>
      <w:r w:rsidR="00820052">
        <w:rPr>
          <w:rFonts w:ascii="標楷體" w:eastAsia="標楷體" w:hAnsi="標楷體" w:hint="eastAsia"/>
          <w:sz w:val="28"/>
          <w:szCs w:val="24"/>
        </w:rPr>
        <w:t>「售票」及「非售票」入場方式計算，而售票進場及非售票進場各</w:t>
      </w:r>
      <w:proofErr w:type="gramStart"/>
      <w:r w:rsidR="00820052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21138E">
        <w:rPr>
          <w:rFonts w:ascii="標楷體" w:eastAsia="標楷體" w:hAnsi="標楷體" w:hint="eastAsia"/>
          <w:sz w:val="28"/>
          <w:szCs w:val="24"/>
        </w:rPr>
        <w:t>42</w:t>
      </w:r>
      <w:r w:rsidR="00A96466">
        <w:rPr>
          <w:rFonts w:ascii="標楷體" w:eastAsia="標楷體" w:hAnsi="標楷體" w:hint="eastAsia"/>
          <w:sz w:val="28"/>
          <w:szCs w:val="24"/>
        </w:rPr>
        <w:t>％</w:t>
      </w:r>
      <w:r w:rsidR="00820052">
        <w:rPr>
          <w:rFonts w:ascii="標楷體" w:eastAsia="標楷體" w:hAnsi="標楷體" w:hint="eastAsia"/>
          <w:sz w:val="28"/>
          <w:szCs w:val="24"/>
        </w:rPr>
        <w:t>及</w:t>
      </w:r>
      <w:r w:rsidR="0021138E">
        <w:rPr>
          <w:rFonts w:ascii="標楷體" w:eastAsia="標楷體" w:hAnsi="標楷體" w:hint="eastAsia"/>
          <w:sz w:val="28"/>
          <w:szCs w:val="24"/>
        </w:rPr>
        <w:t>58</w:t>
      </w:r>
      <w:bookmarkStart w:id="0" w:name="_GoBack"/>
      <w:bookmarkEnd w:id="0"/>
      <w:r w:rsidR="00A96466">
        <w:rPr>
          <w:rFonts w:ascii="標楷體" w:eastAsia="標楷體" w:hAnsi="標楷體" w:hint="eastAsia"/>
          <w:sz w:val="28"/>
          <w:szCs w:val="24"/>
        </w:rPr>
        <w:t>％</w:t>
      </w:r>
      <w:r w:rsidR="004D1014">
        <w:rPr>
          <w:rFonts w:ascii="標楷體" w:eastAsia="標楷體" w:hAnsi="標楷體" w:hint="eastAsia"/>
          <w:sz w:val="28"/>
          <w:szCs w:val="24"/>
        </w:rPr>
        <w:t>（詳圖</w:t>
      </w:r>
      <w:r w:rsidR="00A96466">
        <w:rPr>
          <w:rFonts w:ascii="標楷體" w:eastAsia="標楷體" w:hAnsi="標楷體" w:hint="eastAsia"/>
          <w:sz w:val="28"/>
          <w:szCs w:val="24"/>
        </w:rPr>
        <w:t>10</w:t>
      </w:r>
      <w:r w:rsidR="004D1014">
        <w:rPr>
          <w:rFonts w:ascii="標楷體" w:eastAsia="標楷體" w:hAnsi="標楷體" w:hint="eastAsia"/>
          <w:sz w:val="28"/>
          <w:szCs w:val="24"/>
        </w:rPr>
        <w:t>）</w:t>
      </w:r>
      <w:r w:rsidR="00BE2919">
        <w:rPr>
          <w:rFonts w:ascii="標楷體" w:eastAsia="標楷體" w:hAnsi="標楷體" w:hint="eastAsia"/>
          <w:sz w:val="28"/>
          <w:szCs w:val="24"/>
        </w:rPr>
        <w:t>。</w:t>
      </w:r>
    </w:p>
    <w:p w:rsidR="00DD676C" w:rsidRDefault="00DD676C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A96466" w:rsidRDefault="00A96466" w:rsidP="00FB6B5F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ED00F1" w:rsidRDefault="00ED00F1" w:rsidP="00ED00F1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lastRenderedPageBreak/>
        <w:t>圖</w:t>
      </w:r>
      <w:r w:rsidR="00A96466">
        <w:rPr>
          <w:rFonts w:ascii="標楷體" w:eastAsia="標楷體" w:hAnsi="標楷體"/>
          <w:sz w:val="28"/>
          <w:szCs w:val="24"/>
        </w:rPr>
        <w:t>9</w:t>
      </w:r>
      <w:r w:rsidRPr="006836FC">
        <w:rPr>
          <w:rFonts w:ascii="標楷體" w:eastAsia="標楷體" w:hAnsi="標楷體"/>
          <w:sz w:val="28"/>
          <w:szCs w:val="24"/>
        </w:rPr>
        <w:t>：</w:t>
      </w:r>
      <w:r>
        <w:rPr>
          <w:rFonts w:ascii="標楷體" w:eastAsia="標楷體" w:hAnsi="標楷體"/>
          <w:sz w:val="28"/>
          <w:szCs w:val="24"/>
        </w:rPr>
        <w:t>105-108年展演入場方式</w:t>
      </w:r>
      <w:proofErr w:type="gramStart"/>
      <w:r>
        <w:rPr>
          <w:rFonts w:ascii="標楷體" w:eastAsia="標楷體" w:hAnsi="標楷體"/>
          <w:sz w:val="28"/>
          <w:szCs w:val="24"/>
        </w:rPr>
        <w:t>佔</w:t>
      </w:r>
      <w:proofErr w:type="gramEnd"/>
      <w:r>
        <w:rPr>
          <w:rFonts w:ascii="標楷體" w:eastAsia="標楷體" w:hAnsi="標楷體"/>
          <w:sz w:val="28"/>
          <w:szCs w:val="24"/>
        </w:rPr>
        <w:t>比</w:t>
      </w:r>
    </w:p>
    <w:p w:rsidR="00216C7E" w:rsidRPr="00DD676C" w:rsidRDefault="00DD676C" w:rsidP="00DD676C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28896" behindDoc="1" locked="0" layoutInCell="1" allowOverlap="1" wp14:anchorId="14715E8E" wp14:editId="5C4529AD">
            <wp:simplePos x="0" y="0"/>
            <wp:positionH relativeFrom="column">
              <wp:posOffset>47625</wp:posOffset>
            </wp:positionH>
            <wp:positionV relativeFrom="paragraph">
              <wp:posOffset>66675</wp:posOffset>
            </wp:positionV>
            <wp:extent cx="5239137" cy="3724275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183" cy="3729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C7E" w:rsidRDefault="00216C7E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216C7E" w:rsidRDefault="00216C7E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216C7E" w:rsidRDefault="00216C7E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216C7E" w:rsidRDefault="00216C7E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216C7E" w:rsidRDefault="00216C7E" w:rsidP="00DD676C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FB6B5F" w:rsidRPr="00DD676C" w:rsidRDefault="00FB6B5F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FB6B5F" w:rsidRDefault="00FB6B5F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FB6B5F" w:rsidRPr="00A96466" w:rsidRDefault="00FB6B5F" w:rsidP="00A96466">
      <w:pPr>
        <w:rPr>
          <w:rFonts w:ascii="標楷體" w:eastAsia="標楷體" w:hAnsi="標楷體"/>
          <w:sz w:val="28"/>
          <w:szCs w:val="24"/>
        </w:rPr>
      </w:pPr>
    </w:p>
    <w:p w:rsidR="00ED00F1" w:rsidRDefault="00ED00F1" w:rsidP="00ED00F1">
      <w:pPr>
        <w:jc w:val="center"/>
        <w:rPr>
          <w:rFonts w:ascii="標楷體" w:eastAsia="標楷體" w:hAnsi="標楷體"/>
          <w:sz w:val="28"/>
          <w:szCs w:val="24"/>
        </w:rPr>
      </w:pPr>
      <w:r w:rsidRPr="006836FC">
        <w:rPr>
          <w:rFonts w:ascii="標楷體" w:eastAsia="標楷體" w:hAnsi="標楷體"/>
          <w:sz w:val="28"/>
          <w:szCs w:val="24"/>
        </w:rPr>
        <w:t>圖</w:t>
      </w:r>
      <w:r w:rsidR="00A96466">
        <w:rPr>
          <w:rFonts w:ascii="標楷體" w:eastAsia="標楷體" w:hAnsi="標楷體"/>
          <w:sz w:val="28"/>
          <w:szCs w:val="24"/>
        </w:rPr>
        <w:t>10</w:t>
      </w:r>
      <w:r w:rsidRPr="006836FC">
        <w:rPr>
          <w:rFonts w:ascii="標楷體" w:eastAsia="標楷體" w:hAnsi="標楷體"/>
          <w:sz w:val="28"/>
          <w:szCs w:val="24"/>
        </w:rPr>
        <w:t>：</w:t>
      </w:r>
      <w:r>
        <w:rPr>
          <w:rFonts w:ascii="標楷體" w:eastAsia="標楷體" w:hAnsi="標楷體"/>
          <w:sz w:val="28"/>
          <w:szCs w:val="24"/>
        </w:rPr>
        <w:t>109年展演入場方式</w:t>
      </w:r>
      <w:proofErr w:type="gramStart"/>
      <w:r>
        <w:rPr>
          <w:rFonts w:ascii="標楷體" w:eastAsia="標楷體" w:hAnsi="標楷體"/>
          <w:sz w:val="28"/>
          <w:szCs w:val="24"/>
        </w:rPr>
        <w:t>佔</w:t>
      </w:r>
      <w:proofErr w:type="gramEnd"/>
      <w:r>
        <w:rPr>
          <w:rFonts w:ascii="標楷體" w:eastAsia="標楷體" w:hAnsi="標楷體"/>
          <w:sz w:val="28"/>
          <w:szCs w:val="24"/>
        </w:rPr>
        <w:t>比</w:t>
      </w:r>
    </w:p>
    <w:p w:rsidR="00FB6B5F" w:rsidRPr="00ED00F1" w:rsidRDefault="00ED00F1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218440</wp:posOffset>
            </wp:positionV>
            <wp:extent cx="5307739" cy="3362325"/>
            <wp:effectExtent l="0" t="0" r="762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39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B5F" w:rsidRDefault="00FB6B5F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DD676C" w:rsidRDefault="00DD676C" w:rsidP="00BE2919">
      <w:pPr>
        <w:pStyle w:val="a7"/>
        <w:ind w:leftChars="0" w:left="482" w:firstLineChars="200" w:firstLine="560"/>
        <w:rPr>
          <w:rFonts w:ascii="標楷體" w:eastAsia="標楷體" w:hAnsi="標楷體"/>
          <w:sz w:val="28"/>
          <w:szCs w:val="24"/>
        </w:rPr>
      </w:pPr>
    </w:p>
    <w:p w:rsidR="005D4864" w:rsidRDefault="005D4864" w:rsidP="00134B6A">
      <w:pPr>
        <w:rPr>
          <w:rFonts w:ascii="標楷體" w:eastAsia="標楷體" w:hAnsi="標楷體"/>
          <w:sz w:val="28"/>
          <w:szCs w:val="24"/>
        </w:rPr>
      </w:pPr>
    </w:p>
    <w:p w:rsidR="00CE77FA" w:rsidRDefault="00EB6BB0" w:rsidP="00134B6A">
      <w:pPr>
        <w:rPr>
          <w:rFonts w:ascii="標楷體" w:eastAsia="標楷體" w:hAnsi="標楷體"/>
          <w:sz w:val="28"/>
          <w:szCs w:val="24"/>
        </w:rPr>
      </w:pPr>
      <w:r w:rsidRPr="005D4864">
        <w:rPr>
          <w:rFonts w:ascii="標楷體" w:eastAsia="標楷體" w:hAnsi="標楷體" w:hint="eastAsia"/>
          <w:sz w:val="28"/>
          <w:szCs w:val="24"/>
        </w:rPr>
        <w:lastRenderedPageBreak/>
        <w:t>三、</w:t>
      </w:r>
      <w:r w:rsidR="00546ECA" w:rsidRPr="005D4864">
        <w:rPr>
          <w:rFonts w:ascii="標楷體" w:eastAsia="標楷體" w:hAnsi="標楷體" w:hint="eastAsia"/>
          <w:sz w:val="28"/>
          <w:szCs w:val="24"/>
        </w:rPr>
        <w:t>結論與建議</w:t>
      </w:r>
      <w:r w:rsidRPr="00546ECA">
        <w:rPr>
          <w:rFonts w:ascii="標楷體" w:eastAsia="標楷體" w:hAnsi="標楷體"/>
          <w:sz w:val="28"/>
          <w:szCs w:val="24"/>
        </w:rPr>
        <w:br/>
      </w:r>
      <w:r w:rsidRPr="00217FF0">
        <w:rPr>
          <w:rFonts w:ascii="標楷體" w:eastAsia="標楷體" w:hAnsi="標楷體" w:hint="eastAsia"/>
          <w:sz w:val="28"/>
          <w:szCs w:val="24"/>
        </w:rPr>
        <w:t xml:space="preserve">   </w:t>
      </w:r>
      <w:r w:rsidR="00083963" w:rsidRPr="00217FF0">
        <w:rPr>
          <w:rFonts w:ascii="標楷體" w:eastAsia="標楷體" w:hAnsi="標楷體" w:hint="eastAsia"/>
          <w:sz w:val="28"/>
          <w:szCs w:val="24"/>
        </w:rPr>
        <w:t xml:space="preserve"> </w:t>
      </w:r>
      <w:r w:rsidR="00134B6A" w:rsidRPr="00134B6A">
        <w:rPr>
          <w:rFonts w:ascii="標楷體" w:eastAsia="標楷體" w:hAnsi="標楷體" w:hint="eastAsia"/>
          <w:sz w:val="28"/>
          <w:szCs w:val="24"/>
        </w:rPr>
        <w:t>由以上分析可知，</w:t>
      </w:r>
      <w:r w:rsidR="00721B5A" w:rsidRPr="00134B6A">
        <w:rPr>
          <w:rFonts w:ascii="標楷體" w:eastAsia="標楷體" w:hAnsi="標楷體" w:hint="eastAsia"/>
          <w:sz w:val="28"/>
          <w:szCs w:val="24"/>
        </w:rPr>
        <w:t>每年平均辦理17</w:t>
      </w:r>
      <w:r w:rsidR="00721B5A">
        <w:rPr>
          <w:rFonts w:ascii="標楷體" w:eastAsia="標楷體" w:hAnsi="標楷體" w:hint="eastAsia"/>
          <w:sz w:val="28"/>
          <w:szCs w:val="24"/>
        </w:rPr>
        <w:t>5</w:t>
      </w:r>
      <w:r w:rsidR="00721B5A" w:rsidRPr="00134B6A">
        <w:rPr>
          <w:rFonts w:ascii="標楷體" w:eastAsia="標楷體" w:hAnsi="標楷體" w:hint="eastAsia"/>
          <w:sz w:val="28"/>
          <w:szCs w:val="24"/>
        </w:rPr>
        <w:t>場次不等之展演活動</w:t>
      </w:r>
      <w:r w:rsidR="00721B5A">
        <w:rPr>
          <w:rFonts w:ascii="標楷體" w:eastAsia="標楷體" w:hAnsi="標楷體" w:hint="eastAsia"/>
          <w:sz w:val="28"/>
          <w:szCs w:val="24"/>
        </w:rPr>
        <w:t>，其中以音樂類別為第一，而每年參與聆賞人次約為6萬人次，近年入場聆賞人次</w:t>
      </w:r>
      <w:proofErr w:type="gramStart"/>
      <w:r w:rsidR="00721B5A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721B5A">
        <w:rPr>
          <w:rFonts w:ascii="標楷體" w:eastAsia="標楷體" w:hAnsi="標楷體" w:hint="eastAsia"/>
          <w:sz w:val="28"/>
          <w:szCs w:val="24"/>
        </w:rPr>
        <w:t>比分析，以非售票進場人數</w:t>
      </w:r>
      <w:proofErr w:type="gramStart"/>
      <w:r w:rsidR="00721B5A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721B5A">
        <w:rPr>
          <w:rFonts w:ascii="標楷體" w:eastAsia="標楷體" w:hAnsi="標楷體" w:hint="eastAsia"/>
          <w:sz w:val="28"/>
          <w:szCs w:val="24"/>
        </w:rPr>
        <w:t>比44％最高，</w:t>
      </w:r>
      <w:r w:rsidR="004A3D97">
        <w:rPr>
          <w:rFonts w:ascii="標楷體" w:eastAsia="標楷體" w:hAnsi="標楷體" w:hint="eastAsia"/>
          <w:sz w:val="28"/>
          <w:szCs w:val="24"/>
        </w:rPr>
        <w:t>自109年起「</w:t>
      </w:r>
      <w:proofErr w:type="gramStart"/>
      <w:r w:rsidR="004A3D97">
        <w:rPr>
          <w:rFonts w:ascii="標楷體" w:eastAsia="標楷體" w:hAnsi="標楷體" w:hint="eastAsia"/>
          <w:sz w:val="28"/>
          <w:szCs w:val="24"/>
        </w:rPr>
        <w:t>苗北藝文</w:t>
      </w:r>
      <w:proofErr w:type="gramEnd"/>
      <w:r w:rsidR="004A3D97">
        <w:rPr>
          <w:rFonts w:ascii="標楷體" w:eastAsia="標楷體" w:hAnsi="標楷體" w:hint="eastAsia"/>
          <w:sz w:val="28"/>
          <w:szCs w:val="24"/>
        </w:rPr>
        <w:t>中心」轉型為「行政法人」後，舉辦活動演出形式之統計資料做調整，不再侷限以演出活動類型，</w:t>
      </w:r>
      <w:r w:rsidR="00A96466">
        <w:rPr>
          <w:rFonts w:ascii="標楷體" w:eastAsia="標楷體" w:hAnsi="標楷體" w:hint="eastAsia"/>
          <w:sz w:val="28"/>
          <w:szCs w:val="24"/>
        </w:rPr>
        <w:t>而分別以「演出活動」、「藝文展覽」、「教育推展」等舉辦活動類型及</w:t>
      </w:r>
      <w:r w:rsidR="00A96466" w:rsidRPr="00795B36">
        <w:rPr>
          <w:rFonts w:ascii="標楷體" w:eastAsia="標楷體" w:hAnsi="標楷體"/>
          <w:sz w:val="28"/>
          <w:szCs w:val="24"/>
        </w:rPr>
        <w:t>提供民眾辦理</w:t>
      </w:r>
      <w:r w:rsidR="00A96466">
        <w:rPr>
          <w:rFonts w:ascii="標楷體" w:eastAsia="標楷體" w:hAnsi="標楷體"/>
          <w:sz w:val="28"/>
          <w:szCs w:val="24"/>
        </w:rPr>
        <w:t>活動、</w:t>
      </w:r>
      <w:r w:rsidR="00A96466" w:rsidRPr="00795B36">
        <w:rPr>
          <w:rFonts w:ascii="標楷體" w:eastAsia="標楷體" w:hAnsi="標楷體"/>
          <w:sz w:val="28"/>
          <w:szCs w:val="24"/>
        </w:rPr>
        <w:t>演講、會議與教學課程使用</w:t>
      </w:r>
      <w:r w:rsidR="00A96466">
        <w:rPr>
          <w:rFonts w:ascii="標楷體" w:eastAsia="標楷體" w:hAnsi="標楷體"/>
          <w:sz w:val="28"/>
          <w:szCs w:val="24"/>
        </w:rPr>
        <w:t>等「場域空間」之面向做資料統計，多元呈現表演場所活動舉辦情形，</w:t>
      </w:r>
      <w:proofErr w:type="gramStart"/>
      <w:r w:rsidR="004A3D97">
        <w:rPr>
          <w:rFonts w:ascii="標楷體" w:eastAsia="標楷體" w:hAnsi="標楷體" w:hint="eastAsia"/>
          <w:sz w:val="28"/>
          <w:szCs w:val="24"/>
        </w:rPr>
        <w:t>而</w:t>
      </w:r>
      <w:r w:rsidR="00134B6A" w:rsidRPr="00134B6A">
        <w:rPr>
          <w:rFonts w:ascii="標楷體" w:eastAsia="標楷體" w:hAnsi="標楷體" w:hint="eastAsia"/>
          <w:sz w:val="28"/>
          <w:szCs w:val="24"/>
        </w:rPr>
        <w:t>苗北</w:t>
      </w:r>
      <w:proofErr w:type="gramEnd"/>
      <w:r w:rsidR="00134B6A" w:rsidRPr="00134B6A">
        <w:rPr>
          <w:rFonts w:ascii="標楷體" w:eastAsia="標楷體" w:hAnsi="標楷體" w:hint="eastAsia"/>
          <w:sz w:val="28"/>
          <w:szCs w:val="24"/>
        </w:rPr>
        <w:t>藝文中心辦理展演活動</w:t>
      </w:r>
      <w:r w:rsidR="00BE2919">
        <w:rPr>
          <w:rFonts w:ascii="標楷體" w:eastAsia="標楷體" w:hAnsi="標楷體" w:hint="eastAsia"/>
          <w:sz w:val="28"/>
          <w:szCs w:val="24"/>
        </w:rPr>
        <w:t>場次</w:t>
      </w:r>
      <w:r w:rsidR="0022260F">
        <w:rPr>
          <w:rFonts w:ascii="標楷體" w:eastAsia="標楷體" w:hAnsi="標楷體" w:hint="eastAsia"/>
          <w:sz w:val="28"/>
          <w:szCs w:val="24"/>
        </w:rPr>
        <w:t>型態仍是以演出活動</w:t>
      </w:r>
      <w:proofErr w:type="gramStart"/>
      <w:r w:rsidR="00721B5A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721B5A">
        <w:rPr>
          <w:rFonts w:ascii="標楷體" w:eastAsia="標楷體" w:hAnsi="標楷體" w:hint="eastAsia"/>
          <w:sz w:val="28"/>
          <w:szCs w:val="24"/>
        </w:rPr>
        <w:t>44％為</w:t>
      </w:r>
      <w:proofErr w:type="gramStart"/>
      <w:r w:rsidR="00721B5A">
        <w:rPr>
          <w:rFonts w:ascii="標楷體" w:eastAsia="標楷體" w:hAnsi="標楷體" w:hint="eastAsia"/>
          <w:sz w:val="28"/>
          <w:szCs w:val="24"/>
        </w:rPr>
        <w:t>大宗</w:t>
      </w:r>
      <w:r w:rsidR="00134B6A" w:rsidRPr="00134B6A">
        <w:rPr>
          <w:rFonts w:ascii="標楷體" w:eastAsia="標楷體" w:hAnsi="標楷體" w:hint="eastAsia"/>
          <w:sz w:val="28"/>
          <w:szCs w:val="24"/>
        </w:rPr>
        <w:t>，</w:t>
      </w:r>
      <w:proofErr w:type="gramEnd"/>
      <w:r w:rsidR="00721B5A" w:rsidRPr="00134B6A">
        <w:rPr>
          <w:rFonts w:ascii="標楷體" w:eastAsia="標楷體" w:hAnsi="標楷體" w:hint="eastAsia"/>
          <w:sz w:val="28"/>
          <w:szCs w:val="24"/>
        </w:rPr>
        <w:t>第二則為</w:t>
      </w:r>
      <w:r w:rsidR="00721B5A">
        <w:rPr>
          <w:rFonts w:ascii="標楷體" w:eastAsia="標楷體" w:hAnsi="標楷體" w:hint="eastAsia"/>
          <w:sz w:val="28"/>
          <w:szCs w:val="24"/>
        </w:rPr>
        <w:t>教育推廣</w:t>
      </w:r>
      <w:proofErr w:type="gramStart"/>
      <w:r w:rsidR="00721B5A">
        <w:rPr>
          <w:rFonts w:ascii="標楷體" w:eastAsia="標楷體" w:hAnsi="標楷體" w:hint="eastAsia"/>
          <w:sz w:val="28"/>
          <w:szCs w:val="24"/>
        </w:rPr>
        <w:t>佔</w:t>
      </w:r>
      <w:proofErr w:type="gramEnd"/>
      <w:r w:rsidR="00721B5A">
        <w:rPr>
          <w:rFonts w:ascii="標楷體" w:eastAsia="標楷體" w:hAnsi="標楷體" w:hint="eastAsia"/>
          <w:sz w:val="28"/>
          <w:szCs w:val="24"/>
        </w:rPr>
        <w:t>29％，</w:t>
      </w:r>
      <w:r w:rsidR="00603818">
        <w:rPr>
          <w:rFonts w:ascii="標楷體" w:eastAsia="標楷體" w:hAnsi="標楷體" w:hint="eastAsia"/>
          <w:sz w:val="28"/>
          <w:szCs w:val="24"/>
        </w:rPr>
        <w:t>其演出活動</w:t>
      </w:r>
      <w:r w:rsidR="00CE77FA">
        <w:rPr>
          <w:rFonts w:ascii="標楷體" w:eastAsia="標楷體" w:hAnsi="標楷體" w:hint="eastAsia"/>
          <w:sz w:val="28"/>
          <w:szCs w:val="24"/>
        </w:rPr>
        <w:t>細分</w:t>
      </w:r>
      <w:r w:rsidR="00603818">
        <w:rPr>
          <w:rFonts w:ascii="標楷體" w:eastAsia="標楷體" w:hAnsi="標楷體" w:hint="eastAsia"/>
          <w:sz w:val="28"/>
          <w:szCs w:val="24"/>
        </w:rPr>
        <w:t>類別又以大眾所熟悉之音樂類為主</w:t>
      </w:r>
      <w:r w:rsidR="00721B5A">
        <w:rPr>
          <w:rFonts w:ascii="標楷體" w:eastAsia="標楷體" w:hAnsi="標楷體" w:hint="eastAsia"/>
          <w:sz w:val="28"/>
          <w:szCs w:val="24"/>
        </w:rPr>
        <w:t>，</w:t>
      </w:r>
      <w:r w:rsidR="00CE77FA">
        <w:rPr>
          <w:rFonts w:ascii="標楷體" w:eastAsia="標楷體" w:hAnsi="標楷體" w:hint="eastAsia"/>
          <w:sz w:val="28"/>
          <w:szCs w:val="24"/>
        </w:rPr>
        <w:t>另</w:t>
      </w:r>
      <w:r w:rsidR="005D4864">
        <w:rPr>
          <w:rFonts w:ascii="標楷體" w:eastAsia="標楷體" w:hAnsi="標楷體" w:hint="eastAsia"/>
          <w:sz w:val="28"/>
          <w:szCs w:val="24"/>
        </w:rPr>
        <w:t>針對</w:t>
      </w:r>
      <w:proofErr w:type="gramStart"/>
      <w:r w:rsidR="005D4864">
        <w:rPr>
          <w:rFonts w:ascii="標楷體" w:eastAsia="標楷體" w:hAnsi="標楷體" w:hint="eastAsia"/>
          <w:sz w:val="28"/>
          <w:szCs w:val="24"/>
        </w:rPr>
        <w:t>109</w:t>
      </w:r>
      <w:proofErr w:type="gramEnd"/>
      <w:r w:rsidR="005D4864">
        <w:rPr>
          <w:rFonts w:ascii="標楷體" w:eastAsia="標楷體" w:hAnsi="標楷體" w:hint="eastAsia"/>
          <w:sz w:val="28"/>
          <w:szCs w:val="24"/>
        </w:rPr>
        <w:t>年度展場入場方式及入場聆賞人次作分析，反而在藝文展覽之聆賞人數為最多，而演出活動類型次之，</w:t>
      </w:r>
      <w:r w:rsidR="006655E3">
        <w:rPr>
          <w:rFonts w:ascii="標楷體" w:eastAsia="標楷體" w:hAnsi="標楷體" w:hint="eastAsia"/>
          <w:sz w:val="28"/>
          <w:szCs w:val="24"/>
        </w:rPr>
        <w:t>主要因藝文展覽皆以非售票方式而相對觀賞人數較多</w:t>
      </w:r>
      <w:r w:rsidR="00CE77FA">
        <w:rPr>
          <w:rFonts w:ascii="標楷體" w:eastAsia="標楷體" w:hAnsi="標楷體" w:hint="eastAsia"/>
          <w:sz w:val="28"/>
          <w:szCs w:val="24"/>
        </w:rPr>
        <w:t>。</w:t>
      </w:r>
    </w:p>
    <w:p w:rsidR="000215E7" w:rsidRPr="00E90B90" w:rsidRDefault="00134B6A" w:rsidP="00CE77FA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4"/>
        </w:rPr>
      </w:pPr>
      <w:r w:rsidRPr="00134B6A">
        <w:rPr>
          <w:rFonts w:ascii="標楷體" w:eastAsia="標楷體" w:hAnsi="標楷體" w:hint="eastAsia"/>
          <w:sz w:val="28"/>
          <w:szCs w:val="24"/>
        </w:rPr>
        <w:t>相較於前兩年，</w:t>
      </w:r>
      <w:proofErr w:type="gramStart"/>
      <w:r w:rsidR="00603818">
        <w:rPr>
          <w:rFonts w:ascii="標楷體" w:eastAsia="標楷體" w:hAnsi="標楷體" w:hint="eastAsia"/>
          <w:sz w:val="28"/>
          <w:szCs w:val="24"/>
        </w:rPr>
        <w:t>109</w:t>
      </w:r>
      <w:proofErr w:type="gramEnd"/>
      <w:r w:rsidRPr="00134B6A">
        <w:rPr>
          <w:rFonts w:ascii="標楷體" w:eastAsia="標楷體" w:hAnsi="標楷體" w:hint="eastAsia"/>
          <w:sz w:val="28"/>
          <w:szCs w:val="24"/>
        </w:rPr>
        <w:t>年度</w:t>
      </w:r>
      <w:r w:rsidR="006655E3">
        <w:rPr>
          <w:rFonts w:ascii="標楷體" w:eastAsia="標楷體" w:hAnsi="標楷體" w:hint="eastAsia"/>
          <w:sz w:val="28"/>
          <w:szCs w:val="24"/>
        </w:rPr>
        <w:t>雖受</w:t>
      </w:r>
      <w:r w:rsidR="006655E3">
        <w:rPr>
          <w:rFonts w:ascii="標楷體" w:eastAsia="標楷體" w:hAnsi="標楷體" w:hint="eastAsia"/>
          <w:sz w:val="27"/>
          <w:szCs w:val="27"/>
        </w:rPr>
        <w:t>嚴重特殊傳染性肺炎(</w:t>
      </w:r>
      <w:r w:rsidR="006655E3" w:rsidRPr="00F73F0F">
        <w:rPr>
          <w:rFonts w:ascii="標楷體" w:eastAsia="標楷體" w:hAnsi="標楷體"/>
          <w:sz w:val="27"/>
          <w:szCs w:val="27"/>
        </w:rPr>
        <w:t>COVID-19</w:t>
      </w:r>
      <w:r w:rsidR="006655E3">
        <w:rPr>
          <w:rFonts w:ascii="標楷體" w:eastAsia="標楷體" w:hAnsi="標楷體" w:hint="eastAsia"/>
          <w:sz w:val="27"/>
          <w:szCs w:val="27"/>
        </w:rPr>
        <w:t>)影響，但於下半年</w:t>
      </w:r>
      <w:proofErr w:type="gramStart"/>
      <w:r w:rsidR="006655E3">
        <w:rPr>
          <w:rFonts w:ascii="標楷體" w:eastAsia="標楷體" w:hAnsi="標楷體" w:hint="eastAsia"/>
          <w:sz w:val="27"/>
          <w:szCs w:val="27"/>
        </w:rPr>
        <w:t>疫情稍</w:t>
      </w:r>
      <w:proofErr w:type="gramEnd"/>
      <w:r w:rsidR="006655E3">
        <w:rPr>
          <w:rFonts w:ascii="標楷體" w:eastAsia="標楷體" w:hAnsi="標楷體" w:hint="eastAsia"/>
          <w:sz w:val="27"/>
          <w:szCs w:val="27"/>
        </w:rPr>
        <w:t>減緩而舉辦活場次較多，</w:t>
      </w:r>
      <w:r w:rsidRPr="00134B6A">
        <w:rPr>
          <w:rFonts w:ascii="標楷體" w:eastAsia="標楷體" w:hAnsi="標楷體" w:hint="eastAsia"/>
          <w:sz w:val="28"/>
          <w:szCs w:val="24"/>
        </w:rPr>
        <w:t>民眾</w:t>
      </w:r>
      <w:r w:rsidR="006655E3">
        <w:rPr>
          <w:rFonts w:ascii="標楷體" w:eastAsia="標楷體" w:hAnsi="標楷體" w:hint="eastAsia"/>
          <w:sz w:val="28"/>
          <w:szCs w:val="24"/>
        </w:rPr>
        <w:t>仍對參與藝文活動有很大意願</w:t>
      </w:r>
      <w:r w:rsidRPr="00134B6A">
        <w:rPr>
          <w:rFonts w:ascii="標楷體" w:eastAsia="標楷體" w:hAnsi="標楷體" w:hint="eastAsia"/>
          <w:sz w:val="28"/>
          <w:szCs w:val="24"/>
        </w:rPr>
        <w:t>，</w:t>
      </w:r>
      <w:r w:rsidRPr="006655E3">
        <w:rPr>
          <w:rFonts w:ascii="標楷體" w:eastAsia="標楷體" w:hAnsi="標楷體" w:hint="eastAsia"/>
          <w:sz w:val="28"/>
          <w:szCs w:val="24"/>
        </w:rPr>
        <w:t>因此政</w:t>
      </w:r>
      <w:r w:rsidRPr="00134B6A">
        <w:rPr>
          <w:rFonts w:ascii="標楷體" w:eastAsia="標楷體" w:hAnsi="標楷體" w:hint="eastAsia"/>
          <w:sz w:val="28"/>
          <w:szCs w:val="24"/>
        </w:rPr>
        <w:t>府</w:t>
      </w:r>
      <w:r w:rsidR="00AF62E4">
        <w:rPr>
          <w:rFonts w:ascii="標楷體" w:eastAsia="標楷體" w:hAnsi="標楷體" w:hint="eastAsia"/>
          <w:sz w:val="28"/>
          <w:szCs w:val="24"/>
        </w:rPr>
        <w:t>於遵守防疫相關規定許可</w:t>
      </w:r>
      <w:r w:rsidR="00077ED5">
        <w:rPr>
          <w:rFonts w:ascii="標楷體" w:eastAsia="標楷體" w:hAnsi="標楷體" w:hint="eastAsia"/>
          <w:sz w:val="28"/>
          <w:szCs w:val="24"/>
        </w:rPr>
        <w:t>範圍</w:t>
      </w:r>
      <w:r w:rsidR="00AF62E4">
        <w:rPr>
          <w:rFonts w:ascii="標楷體" w:eastAsia="標楷體" w:hAnsi="標楷體" w:hint="eastAsia"/>
          <w:sz w:val="28"/>
          <w:szCs w:val="24"/>
        </w:rPr>
        <w:t>下，</w:t>
      </w:r>
      <w:r w:rsidRPr="00134B6A">
        <w:rPr>
          <w:rFonts w:ascii="標楷體" w:eastAsia="標楷體" w:hAnsi="標楷體" w:hint="eastAsia"/>
          <w:sz w:val="28"/>
          <w:szCs w:val="24"/>
        </w:rPr>
        <w:t>舉辦更多元的表演及廣為宣傳所辦之展演活動，讓更多民</w:t>
      </w:r>
      <w:r w:rsidR="005C375B">
        <w:rPr>
          <w:rFonts w:ascii="標楷體" w:eastAsia="標楷體" w:hAnsi="標楷體" w:hint="eastAsia"/>
          <w:sz w:val="28"/>
          <w:szCs w:val="24"/>
        </w:rPr>
        <w:t>眾</w:t>
      </w:r>
      <w:r w:rsidRPr="00134B6A">
        <w:rPr>
          <w:rFonts w:ascii="標楷體" w:eastAsia="標楷體" w:hAnsi="標楷體" w:hint="eastAsia"/>
          <w:sz w:val="28"/>
          <w:szCs w:val="24"/>
        </w:rPr>
        <w:t>了解藝文之美，以達成推廣之成效。</w:t>
      </w:r>
    </w:p>
    <w:sectPr w:rsidR="000215E7" w:rsidRPr="00E90B90" w:rsidSect="00AA596C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F14" w:rsidRDefault="00502F14" w:rsidP="00226F68">
      <w:r>
        <w:separator/>
      </w:r>
    </w:p>
  </w:endnote>
  <w:endnote w:type="continuationSeparator" w:id="0">
    <w:p w:rsidR="00502F14" w:rsidRDefault="00502F14" w:rsidP="0022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FangSo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648134"/>
      <w:docPartObj>
        <w:docPartGallery w:val="Page Numbers (Bottom of Page)"/>
        <w:docPartUnique/>
      </w:docPartObj>
    </w:sdtPr>
    <w:sdtEndPr/>
    <w:sdtContent>
      <w:p w:rsidR="00AA596C" w:rsidRDefault="00AA59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38E" w:rsidRPr="0021138E">
          <w:rPr>
            <w:noProof/>
            <w:lang w:val="zh-TW"/>
          </w:rPr>
          <w:t>12</w:t>
        </w:r>
        <w:r>
          <w:fldChar w:fldCharType="end"/>
        </w:r>
      </w:p>
    </w:sdtContent>
  </w:sdt>
  <w:p w:rsidR="00AA596C" w:rsidRDefault="00AA59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F14" w:rsidRDefault="00502F14" w:rsidP="00226F68">
      <w:r>
        <w:separator/>
      </w:r>
    </w:p>
  </w:footnote>
  <w:footnote w:type="continuationSeparator" w:id="0">
    <w:p w:rsidR="00502F14" w:rsidRDefault="00502F14" w:rsidP="0022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615"/>
    <w:multiLevelType w:val="hybridMultilevel"/>
    <w:tmpl w:val="AF8654A2"/>
    <w:lvl w:ilvl="0" w:tplc="A0FA22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430FF7"/>
    <w:multiLevelType w:val="hybridMultilevel"/>
    <w:tmpl w:val="E20438C4"/>
    <w:lvl w:ilvl="0" w:tplc="04090017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7F72A7"/>
    <w:multiLevelType w:val="hybridMultilevel"/>
    <w:tmpl w:val="68C48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0C3031"/>
    <w:multiLevelType w:val="hybridMultilevel"/>
    <w:tmpl w:val="2FBED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EDA1E32"/>
    <w:multiLevelType w:val="hybridMultilevel"/>
    <w:tmpl w:val="44FC05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5937FF"/>
    <w:multiLevelType w:val="hybridMultilevel"/>
    <w:tmpl w:val="1CEC1092"/>
    <w:lvl w:ilvl="0" w:tplc="2522E5A2">
      <w:start w:val="9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D970484"/>
    <w:multiLevelType w:val="hybridMultilevel"/>
    <w:tmpl w:val="1F4E78A6"/>
    <w:lvl w:ilvl="0" w:tplc="72242CD4">
      <w:start w:val="9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4925C09"/>
    <w:multiLevelType w:val="hybridMultilevel"/>
    <w:tmpl w:val="9FFC0E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DB4CB2"/>
    <w:multiLevelType w:val="hybridMultilevel"/>
    <w:tmpl w:val="0D00F596"/>
    <w:lvl w:ilvl="0" w:tplc="E06EA1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46"/>
    <w:rsid w:val="00007A79"/>
    <w:rsid w:val="000215E7"/>
    <w:rsid w:val="000337FA"/>
    <w:rsid w:val="00035AD8"/>
    <w:rsid w:val="00040AA3"/>
    <w:rsid w:val="000431E7"/>
    <w:rsid w:val="00043CB6"/>
    <w:rsid w:val="00057233"/>
    <w:rsid w:val="000750E2"/>
    <w:rsid w:val="00077ED5"/>
    <w:rsid w:val="00080FD8"/>
    <w:rsid w:val="00083963"/>
    <w:rsid w:val="000965A4"/>
    <w:rsid w:val="000A58FE"/>
    <w:rsid w:val="000B3F05"/>
    <w:rsid w:val="000D009D"/>
    <w:rsid w:val="000F6F50"/>
    <w:rsid w:val="000F7089"/>
    <w:rsid w:val="0010312E"/>
    <w:rsid w:val="001105F4"/>
    <w:rsid w:val="00116007"/>
    <w:rsid w:val="00134B6A"/>
    <w:rsid w:val="00144364"/>
    <w:rsid w:val="00164C52"/>
    <w:rsid w:val="00166F1E"/>
    <w:rsid w:val="0017375D"/>
    <w:rsid w:val="00173DA4"/>
    <w:rsid w:val="001A4492"/>
    <w:rsid w:val="001B5ED7"/>
    <w:rsid w:val="001B5F0C"/>
    <w:rsid w:val="001C68A6"/>
    <w:rsid w:val="001E2116"/>
    <w:rsid w:val="001E4C8F"/>
    <w:rsid w:val="001E6EF6"/>
    <w:rsid w:val="002004B5"/>
    <w:rsid w:val="0021138E"/>
    <w:rsid w:val="00216C7E"/>
    <w:rsid w:val="00217FF0"/>
    <w:rsid w:val="002203BD"/>
    <w:rsid w:val="0022260F"/>
    <w:rsid w:val="00226B98"/>
    <w:rsid w:val="00226F68"/>
    <w:rsid w:val="00261200"/>
    <w:rsid w:val="00272742"/>
    <w:rsid w:val="00276FE2"/>
    <w:rsid w:val="00290CBA"/>
    <w:rsid w:val="0029321A"/>
    <w:rsid w:val="002A0DB6"/>
    <w:rsid w:val="002A1845"/>
    <w:rsid w:val="002B099D"/>
    <w:rsid w:val="002C2BC2"/>
    <w:rsid w:val="002F4D05"/>
    <w:rsid w:val="002F6EC9"/>
    <w:rsid w:val="00352622"/>
    <w:rsid w:val="00356538"/>
    <w:rsid w:val="00367D0A"/>
    <w:rsid w:val="00396220"/>
    <w:rsid w:val="003B2BE8"/>
    <w:rsid w:val="003C1AF9"/>
    <w:rsid w:val="003C66D1"/>
    <w:rsid w:val="00417844"/>
    <w:rsid w:val="004425F5"/>
    <w:rsid w:val="00460EDF"/>
    <w:rsid w:val="00463D85"/>
    <w:rsid w:val="004924AF"/>
    <w:rsid w:val="004A03CD"/>
    <w:rsid w:val="004A3D97"/>
    <w:rsid w:val="004B5916"/>
    <w:rsid w:val="004D1014"/>
    <w:rsid w:val="004F5BE7"/>
    <w:rsid w:val="004F5F9A"/>
    <w:rsid w:val="00502F14"/>
    <w:rsid w:val="00506234"/>
    <w:rsid w:val="005131D8"/>
    <w:rsid w:val="00523FAB"/>
    <w:rsid w:val="005258DD"/>
    <w:rsid w:val="00531883"/>
    <w:rsid w:val="0054300F"/>
    <w:rsid w:val="00545FB0"/>
    <w:rsid w:val="00546ECA"/>
    <w:rsid w:val="00561BFB"/>
    <w:rsid w:val="005711E0"/>
    <w:rsid w:val="00590F94"/>
    <w:rsid w:val="00597659"/>
    <w:rsid w:val="005B1048"/>
    <w:rsid w:val="005B142B"/>
    <w:rsid w:val="005B5AD5"/>
    <w:rsid w:val="005C375B"/>
    <w:rsid w:val="005D03D7"/>
    <w:rsid w:val="005D33F7"/>
    <w:rsid w:val="005D4864"/>
    <w:rsid w:val="00603818"/>
    <w:rsid w:val="00616E80"/>
    <w:rsid w:val="00625906"/>
    <w:rsid w:val="00625D80"/>
    <w:rsid w:val="00627FD5"/>
    <w:rsid w:val="006306A8"/>
    <w:rsid w:val="0063123D"/>
    <w:rsid w:val="006336DA"/>
    <w:rsid w:val="00637623"/>
    <w:rsid w:val="00653CE0"/>
    <w:rsid w:val="00663027"/>
    <w:rsid w:val="006655E3"/>
    <w:rsid w:val="006658AB"/>
    <w:rsid w:val="0067515F"/>
    <w:rsid w:val="006836FC"/>
    <w:rsid w:val="00685BF1"/>
    <w:rsid w:val="00693AC0"/>
    <w:rsid w:val="006C4DDD"/>
    <w:rsid w:val="006D12E4"/>
    <w:rsid w:val="00705DB5"/>
    <w:rsid w:val="007106AE"/>
    <w:rsid w:val="00716B7E"/>
    <w:rsid w:val="00721B5A"/>
    <w:rsid w:val="00753A68"/>
    <w:rsid w:val="007609E9"/>
    <w:rsid w:val="00791820"/>
    <w:rsid w:val="00795B36"/>
    <w:rsid w:val="007A0078"/>
    <w:rsid w:val="007A7A40"/>
    <w:rsid w:val="007B575E"/>
    <w:rsid w:val="007C02C3"/>
    <w:rsid w:val="007C3AF4"/>
    <w:rsid w:val="007D600C"/>
    <w:rsid w:val="007E425F"/>
    <w:rsid w:val="007E627A"/>
    <w:rsid w:val="00820052"/>
    <w:rsid w:val="0082391C"/>
    <w:rsid w:val="008337F0"/>
    <w:rsid w:val="0084140C"/>
    <w:rsid w:val="00845E8E"/>
    <w:rsid w:val="0085239C"/>
    <w:rsid w:val="00853B1F"/>
    <w:rsid w:val="00854A67"/>
    <w:rsid w:val="00861E5A"/>
    <w:rsid w:val="00867EDD"/>
    <w:rsid w:val="00882F2D"/>
    <w:rsid w:val="008A3746"/>
    <w:rsid w:val="008A77A7"/>
    <w:rsid w:val="008A7AB1"/>
    <w:rsid w:val="008B1132"/>
    <w:rsid w:val="008B14B4"/>
    <w:rsid w:val="008B3A4F"/>
    <w:rsid w:val="008B4377"/>
    <w:rsid w:val="008B7214"/>
    <w:rsid w:val="008C7F20"/>
    <w:rsid w:val="008F6854"/>
    <w:rsid w:val="00905F8A"/>
    <w:rsid w:val="009072A8"/>
    <w:rsid w:val="00907D6A"/>
    <w:rsid w:val="009301F1"/>
    <w:rsid w:val="009401E9"/>
    <w:rsid w:val="009502CD"/>
    <w:rsid w:val="00977E3A"/>
    <w:rsid w:val="00984A6C"/>
    <w:rsid w:val="009907E8"/>
    <w:rsid w:val="009B0985"/>
    <w:rsid w:val="009B1971"/>
    <w:rsid w:val="009C2CAF"/>
    <w:rsid w:val="009D63B5"/>
    <w:rsid w:val="00A01925"/>
    <w:rsid w:val="00A15E87"/>
    <w:rsid w:val="00A16716"/>
    <w:rsid w:val="00A45207"/>
    <w:rsid w:val="00A47891"/>
    <w:rsid w:val="00A6710A"/>
    <w:rsid w:val="00A674A3"/>
    <w:rsid w:val="00A91412"/>
    <w:rsid w:val="00A95A1E"/>
    <w:rsid w:val="00A96466"/>
    <w:rsid w:val="00AA596C"/>
    <w:rsid w:val="00AB1E85"/>
    <w:rsid w:val="00AB5406"/>
    <w:rsid w:val="00AB6833"/>
    <w:rsid w:val="00AC2195"/>
    <w:rsid w:val="00AC4ACD"/>
    <w:rsid w:val="00AD1573"/>
    <w:rsid w:val="00AF62E4"/>
    <w:rsid w:val="00B14E4A"/>
    <w:rsid w:val="00B15100"/>
    <w:rsid w:val="00B17D41"/>
    <w:rsid w:val="00B20CE9"/>
    <w:rsid w:val="00B25D9E"/>
    <w:rsid w:val="00B2796F"/>
    <w:rsid w:val="00B31B60"/>
    <w:rsid w:val="00B43FEF"/>
    <w:rsid w:val="00B50DD1"/>
    <w:rsid w:val="00B5160C"/>
    <w:rsid w:val="00B57404"/>
    <w:rsid w:val="00B57B31"/>
    <w:rsid w:val="00B739D8"/>
    <w:rsid w:val="00B8671E"/>
    <w:rsid w:val="00BA5182"/>
    <w:rsid w:val="00BA5B8E"/>
    <w:rsid w:val="00BB3E92"/>
    <w:rsid w:val="00BD147A"/>
    <w:rsid w:val="00BE2919"/>
    <w:rsid w:val="00C0210B"/>
    <w:rsid w:val="00C0285B"/>
    <w:rsid w:val="00C07A92"/>
    <w:rsid w:val="00C25B66"/>
    <w:rsid w:val="00C27987"/>
    <w:rsid w:val="00C659D7"/>
    <w:rsid w:val="00C65F79"/>
    <w:rsid w:val="00C75D11"/>
    <w:rsid w:val="00C76A56"/>
    <w:rsid w:val="00C86699"/>
    <w:rsid w:val="00C87CFD"/>
    <w:rsid w:val="00C91F69"/>
    <w:rsid w:val="00C936EC"/>
    <w:rsid w:val="00C9783E"/>
    <w:rsid w:val="00CA58BA"/>
    <w:rsid w:val="00CB7921"/>
    <w:rsid w:val="00CC61C6"/>
    <w:rsid w:val="00CC7E6D"/>
    <w:rsid w:val="00CE4F04"/>
    <w:rsid w:val="00CE5613"/>
    <w:rsid w:val="00CE77FA"/>
    <w:rsid w:val="00CF44D4"/>
    <w:rsid w:val="00D23D47"/>
    <w:rsid w:val="00D2564C"/>
    <w:rsid w:val="00D3393F"/>
    <w:rsid w:val="00D3749E"/>
    <w:rsid w:val="00D42CF4"/>
    <w:rsid w:val="00D4507B"/>
    <w:rsid w:val="00D50FEC"/>
    <w:rsid w:val="00D65F41"/>
    <w:rsid w:val="00DB4ED8"/>
    <w:rsid w:val="00DB7652"/>
    <w:rsid w:val="00DC7287"/>
    <w:rsid w:val="00DD2CA8"/>
    <w:rsid w:val="00DD676C"/>
    <w:rsid w:val="00DE5FC2"/>
    <w:rsid w:val="00DE77F5"/>
    <w:rsid w:val="00DF563F"/>
    <w:rsid w:val="00E01185"/>
    <w:rsid w:val="00E16BD3"/>
    <w:rsid w:val="00E175A8"/>
    <w:rsid w:val="00E36FF3"/>
    <w:rsid w:val="00E6196E"/>
    <w:rsid w:val="00E75319"/>
    <w:rsid w:val="00E81262"/>
    <w:rsid w:val="00E81F6A"/>
    <w:rsid w:val="00E90B90"/>
    <w:rsid w:val="00EA3F61"/>
    <w:rsid w:val="00EB6BB0"/>
    <w:rsid w:val="00ED00F1"/>
    <w:rsid w:val="00EE12F8"/>
    <w:rsid w:val="00EE40F9"/>
    <w:rsid w:val="00EE73F4"/>
    <w:rsid w:val="00EF12FC"/>
    <w:rsid w:val="00F00C01"/>
    <w:rsid w:val="00F019F8"/>
    <w:rsid w:val="00F03A41"/>
    <w:rsid w:val="00F0410F"/>
    <w:rsid w:val="00F31775"/>
    <w:rsid w:val="00F326F9"/>
    <w:rsid w:val="00F526A9"/>
    <w:rsid w:val="00F60D90"/>
    <w:rsid w:val="00F67F5B"/>
    <w:rsid w:val="00F85632"/>
    <w:rsid w:val="00F86182"/>
    <w:rsid w:val="00F86856"/>
    <w:rsid w:val="00FB1951"/>
    <w:rsid w:val="00FB6B5F"/>
    <w:rsid w:val="00FC317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6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6F68"/>
    <w:rPr>
      <w:sz w:val="20"/>
      <w:szCs w:val="20"/>
    </w:rPr>
  </w:style>
  <w:style w:type="paragraph" w:styleId="a7">
    <w:name w:val="List Paragraph"/>
    <w:basedOn w:val="a"/>
    <w:uiPriority w:val="34"/>
    <w:qFormat/>
    <w:rsid w:val="00226F68"/>
    <w:pPr>
      <w:ind w:leftChars="200" w:left="480"/>
    </w:pPr>
  </w:style>
  <w:style w:type="table" w:styleId="a8">
    <w:name w:val="Table Grid"/>
    <w:basedOn w:val="a1"/>
    <w:uiPriority w:val="59"/>
    <w:rsid w:val="0010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D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07D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6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6F68"/>
    <w:rPr>
      <w:sz w:val="20"/>
      <w:szCs w:val="20"/>
    </w:rPr>
  </w:style>
  <w:style w:type="paragraph" w:styleId="a7">
    <w:name w:val="List Paragraph"/>
    <w:basedOn w:val="a"/>
    <w:uiPriority w:val="34"/>
    <w:qFormat/>
    <w:rsid w:val="00226F68"/>
    <w:pPr>
      <w:ind w:leftChars="200" w:left="480"/>
    </w:pPr>
  </w:style>
  <w:style w:type="table" w:styleId="a8">
    <w:name w:val="Table Grid"/>
    <w:basedOn w:val="a1"/>
    <w:uiPriority w:val="59"/>
    <w:rsid w:val="0010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D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07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1A2F-70C0-4DF4-A420-EE7E5336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14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鄧憲仁</dc:creator>
  <cp:lastModifiedBy>陳令竺</cp:lastModifiedBy>
  <cp:revision>32</cp:revision>
  <cp:lastPrinted>2021-06-18T03:02:00Z</cp:lastPrinted>
  <dcterms:created xsi:type="dcterms:W3CDTF">2021-05-03T05:23:00Z</dcterms:created>
  <dcterms:modified xsi:type="dcterms:W3CDTF">2021-07-23T07:03:00Z</dcterms:modified>
</cp:coreProperties>
</file>