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77CA8">
      <w:pPr>
        <w:pStyle w:val="Default"/>
        <w:framePr w:w="3860" w:wrap="auto" w:vAnchor="page" w:hAnchor="page" w:x="4328" w:y="486"/>
        <w:jc w:val="center"/>
        <w:rPr>
          <w:color w:val="313131"/>
          <w:sz w:val="23"/>
          <w:szCs w:val="23"/>
        </w:rPr>
      </w:pPr>
      <w:bookmarkStart w:id="0" w:name="_GoBack"/>
      <w:bookmarkEnd w:id="0"/>
      <w:r>
        <w:rPr>
          <w:rFonts w:hint="eastAsia"/>
          <w:color w:val="313131"/>
          <w:sz w:val="23"/>
          <w:szCs w:val="23"/>
        </w:rPr>
        <w:t>文化資產審議委員會組織準則</w:t>
      </w:r>
    </w:p>
    <w:p w:rsidR="00000000" w:rsidRDefault="00C379E0">
      <w:pPr>
        <w:pStyle w:val="Default"/>
        <w:rPr>
          <w:rFonts w:cstheme="minorBidi"/>
          <w:color w:val="auto"/>
        </w:rPr>
      </w:pPr>
      <w:r>
        <w:rPr>
          <w:noProof/>
        </w:rPr>
        <mc:AlternateContent>
          <mc:Choice Requires="wps">
            <w:drawing>
              <wp:anchor distT="0" distB="0" distL="114300" distR="114300" simplePos="0" relativeHeight="251658240" behindDoc="0" locked="0" layoutInCell="0" allowOverlap="1">
                <wp:simplePos x="0" y="0"/>
                <wp:positionH relativeFrom="page">
                  <wp:posOffset>440690</wp:posOffset>
                </wp:positionH>
                <wp:positionV relativeFrom="page">
                  <wp:posOffset>974725</wp:posOffset>
                </wp:positionV>
                <wp:extent cx="7112000" cy="2073910"/>
                <wp:effectExtent l="0" t="0" r="0" b="0"/>
                <wp:wrapThrough wrapText="bothSides">
                  <wp:wrapPolygon edited="0">
                    <wp:start x="0" y="0"/>
                    <wp:lineTo x="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0" cy="207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7CA8">
                            <w:pPr>
                              <w:autoSpaceDE w:val="0"/>
                              <w:autoSpaceDN w:val="0"/>
                              <w:adjustRightInd w:val="0"/>
                              <w:rPr>
                                <w:rFonts w:ascii="新細明體" w:eastAsia="新細明體"/>
                                <w:kern w:val="0"/>
                                <w:szCs w:val="24"/>
                              </w:rPr>
                            </w:pPr>
                          </w:p>
                          <w:tbl>
                            <w:tblPr>
                              <w:tblW w:w="0" w:type="auto"/>
                              <w:tblBorders>
                                <w:top w:val="nil"/>
                                <w:left w:val="nil"/>
                                <w:bottom w:val="nil"/>
                                <w:right w:val="nil"/>
                              </w:tblBorders>
                              <w:tblLayout w:type="fixed"/>
                              <w:tblLook w:val="0000" w:firstRow="0" w:lastRow="0" w:firstColumn="0" w:lastColumn="0" w:noHBand="0" w:noVBand="0"/>
                            </w:tblPr>
                            <w:tblGrid>
                              <w:gridCol w:w="970"/>
                              <w:gridCol w:w="9430"/>
                            </w:tblGrid>
                            <w:tr w:rsidR="00000000">
                              <w:tblPrEx>
                                <w:tblCellMar>
                                  <w:top w:w="0" w:type="dxa"/>
                                  <w:bottom w:w="0" w:type="dxa"/>
                                </w:tblCellMar>
                              </w:tblPrEx>
                              <w:trPr>
                                <w:trHeight w:val="362"/>
                              </w:trPr>
                              <w:tc>
                                <w:tcPr>
                                  <w:tcW w:w="970" w:type="dxa"/>
                                </w:tcPr>
                                <w:p w:rsidR="00000000" w:rsidRDefault="00B77CA8">
                                  <w:pPr>
                                    <w:pStyle w:val="Default"/>
                                    <w:rPr>
                                      <w:color w:val="313131"/>
                                      <w:sz w:val="23"/>
                                      <w:szCs w:val="23"/>
                                    </w:rPr>
                                  </w:pPr>
                                  <w:r>
                                    <w:rPr>
                                      <w:rFonts w:hint="eastAsia"/>
                                      <w:color w:val="313131"/>
                                      <w:sz w:val="23"/>
                                      <w:szCs w:val="23"/>
                                    </w:rPr>
                                    <w:t>第一條</w:t>
                                  </w:r>
                                  <w:r>
                                    <w:rPr>
                                      <w:color w:val="313131"/>
                                      <w:sz w:val="23"/>
                                      <w:szCs w:val="23"/>
                                    </w:rPr>
                                    <w:t xml:space="preserve"> </w:t>
                                  </w:r>
                                </w:p>
                              </w:tc>
                              <w:tc>
                                <w:tcPr>
                                  <w:tcW w:w="9430" w:type="dxa"/>
                                </w:tcPr>
                                <w:p w:rsidR="00000000" w:rsidRDefault="00B77CA8">
                                  <w:pPr>
                                    <w:pStyle w:val="Default"/>
                                    <w:rPr>
                                      <w:color w:val="313131"/>
                                      <w:sz w:val="23"/>
                                      <w:szCs w:val="23"/>
                                    </w:rPr>
                                  </w:pPr>
                                  <w:r>
                                    <w:rPr>
                                      <w:rFonts w:hint="eastAsia"/>
                                      <w:color w:val="313131"/>
                                      <w:sz w:val="23"/>
                                      <w:szCs w:val="23"/>
                                    </w:rPr>
                                    <w:t>本準則依文化資產保存法</w:t>
                                  </w:r>
                                  <w:r>
                                    <w:rPr>
                                      <w:color w:val="313131"/>
                                      <w:sz w:val="23"/>
                                      <w:szCs w:val="23"/>
                                    </w:rPr>
                                    <w:t>(</w:t>
                                  </w:r>
                                  <w:r>
                                    <w:rPr>
                                      <w:rFonts w:hint="eastAsia"/>
                                      <w:color w:val="313131"/>
                                      <w:sz w:val="23"/>
                                      <w:szCs w:val="23"/>
                                    </w:rPr>
                                    <w:t>以下簡稱本法</w:t>
                                  </w:r>
                                  <w:r>
                                    <w:rPr>
                                      <w:color w:val="313131"/>
                                      <w:sz w:val="23"/>
                                      <w:szCs w:val="23"/>
                                    </w:rPr>
                                    <w:t>)</w:t>
                                  </w:r>
                                  <w:r>
                                    <w:rPr>
                                      <w:rFonts w:hint="eastAsia"/>
                                      <w:color w:val="313131"/>
                                      <w:sz w:val="23"/>
                                      <w:szCs w:val="23"/>
                                    </w:rPr>
                                    <w:t>第六條第二項規定訂定之。</w:t>
                                  </w:r>
                                  <w:r>
                                    <w:rPr>
                                      <w:color w:val="313131"/>
                                      <w:sz w:val="23"/>
                                      <w:szCs w:val="23"/>
                                    </w:rPr>
                                    <w:t xml:space="preserve"> </w:t>
                                  </w:r>
                                </w:p>
                              </w:tc>
                            </w:tr>
                            <w:tr w:rsidR="00000000">
                              <w:tblPrEx>
                                <w:tblCellMar>
                                  <w:top w:w="0" w:type="dxa"/>
                                  <w:bottom w:w="0" w:type="dxa"/>
                                </w:tblCellMar>
                              </w:tblPrEx>
                              <w:trPr>
                                <w:trHeight w:val="1702"/>
                              </w:trPr>
                              <w:tc>
                                <w:tcPr>
                                  <w:tcW w:w="970" w:type="dxa"/>
                                </w:tcPr>
                                <w:p w:rsidR="00000000" w:rsidRDefault="00B77CA8">
                                  <w:pPr>
                                    <w:pStyle w:val="Default"/>
                                    <w:rPr>
                                      <w:color w:val="313131"/>
                                      <w:sz w:val="23"/>
                                      <w:szCs w:val="23"/>
                                    </w:rPr>
                                  </w:pPr>
                                  <w:r>
                                    <w:rPr>
                                      <w:rFonts w:hint="eastAsia"/>
                                      <w:color w:val="313131"/>
                                      <w:sz w:val="23"/>
                                      <w:szCs w:val="23"/>
                                    </w:rPr>
                                    <w:t>第二條</w:t>
                                  </w:r>
                                  <w:r>
                                    <w:rPr>
                                      <w:color w:val="313131"/>
                                      <w:sz w:val="23"/>
                                      <w:szCs w:val="23"/>
                                    </w:rPr>
                                    <w:t xml:space="preserve"> </w:t>
                                  </w:r>
                                </w:p>
                              </w:tc>
                              <w:tc>
                                <w:tcPr>
                                  <w:tcW w:w="9430" w:type="dxa"/>
                                </w:tcPr>
                                <w:p w:rsidR="00000000" w:rsidRDefault="00B77CA8">
                                  <w:pPr>
                                    <w:pStyle w:val="Default"/>
                                    <w:rPr>
                                      <w:color w:val="313131"/>
                                      <w:sz w:val="23"/>
                                      <w:szCs w:val="23"/>
                                    </w:rPr>
                                  </w:pPr>
                                  <w:r>
                                    <w:rPr>
                                      <w:rFonts w:hint="eastAsia"/>
                                      <w:color w:val="313131"/>
                                      <w:sz w:val="23"/>
                                      <w:szCs w:val="23"/>
                                    </w:rPr>
                                    <w:t>文化資產審議委員會</w:t>
                                  </w:r>
                                  <w:r>
                                    <w:rPr>
                                      <w:color w:val="313131"/>
                                      <w:sz w:val="23"/>
                                      <w:szCs w:val="23"/>
                                    </w:rPr>
                                    <w:t>(</w:t>
                                  </w:r>
                                  <w:r>
                                    <w:rPr>
                                      <w:rFonts w:hint="eastAsia"/>
                                      <w:color w:val="313131"/>
                                      <w:sz w:val="23"/>
                                      <w:szCs w:val="23"/>
                                    </w:rPr>
                                    <w:t>以下簡稱審議委員會</w:t>
                                  </w:r>
                                  <w:r>
                                    <w:rPr>
                                      <w:color w:val="313131"/>
                                      <w:sz w:val="23"/>
                                      <w:szCs w:val="23"/>
                                    </w:rPr>
                                    <w:t>)</w:t>
                                  </w:r>
                                  <w:r>
                                    <w:rPr>
                                      <w:rFonts w:hint="eastAsia"/>
                                      <w:color w:val="313131"/>
                                      <w:sz w:val="23"/>
                                      <w:szCs w:val="23"/>
                                    </w:rPr>
                                    <w:t>審議事項如下：</w:t>
                                  </w:r>
                                  <w:r>
                                    <w:rPr>
                                      <w:color w:val="313131"/>
                                      <w:sz w:val="23"/>
                                      <w:szCs w:val="23"/>
                                    </w:rPr>
                                    <w:t xml:space="preserve"> </w:t>
                                  </w:r>
                                  <w:r>
                                    <w:rPr>
                                      <w:rFonts w:hint="eastAsia"/>
                                      <w:color w:val="313131"/>
                                      <w:sz w:val="23"/>
                                      <w:szCs w:val="23"/>
                                    </w:rPr>
                                    <w:t>一、各類文化資產指定之審議事項。</w:t>
                                  </w:r>
                                  <w:r>
                                    <w:rPr>
                                      <w:color w:val="313131"/>
                                      <w:sz w:val="23"/>
                                      <w:szCs w:val="23"/>
                                    </w:rPr>
                                    <w:t xml:space="preserve"> </w:t>
                                  </w:r>
                                  <w:r>
                                    <w:rPr>
                                      <w:rFonts w:hint="eastAsia"/>
                                      <w:color w:val="313131"/>
                                      <w:sz w:val="23"/>
                                      <w:szCs w:val="23"/>
                                    </w:rPr>
                                    <w:t>二、各類文化資產登錄之審議事項。</w:t>
                                  </w:r>
                                  <w:r>
                                    <w:rPr>
                                      <w:color w:val="313131"/>
                                      <w:sz w:val="23"/>
                                      <w:szCs w:val="23"/>
                                    </w:rPr>
                                    <w:t xml:space="preserve"> </w:t>
                                  </w:r>
                                  <w:r>
                                    <w:rPr>
                                      <w:rFonts w:hint="eastAsia"/>
                                      <w:color w:val="313131"/>
                                      <w:sz w:val="23"/>
                                      <w:szCs w:val="23"/>
                                    </w:rPr>
                                    <w:t>三、其他本法規定重大事項之審議。</w:t>
                                  </w:r>
                                  <w:r>
                                    <w:rPr>
                                      <w:color w:val="313131"/>
                                      <w:sz w:val="23"/>
                                      <w:szCs w:val="23"/>
                                    </w:rPr>
                                    <w:t xml:space="preserve"> </w:t>
                                  </w:r>
                                </w:p>
                              </w:tc>
                            </w:tr>
                            <w:tr w:rsidR="00000000">
                              <w:tblPrEx>
                                <w:tblCellMar>
                                  <w:top w:w="0" w:type="dxa"/>
                                  <w:bottom w:w="0" w:type="dxa"/>
                                </w:tblCellMar>
                              </w:tblPrEx>
                              <w:trPr>
                                <w:trHeight w:val="367"/>
                              </w:trPr>
                              <w:tc>
                                <w:tcPr>
                                  <w:tcW w:w="970" w:type="dxa"/>
                                  <w:vAlign w:val="bottom"/>
                                </w:tcPr>
                                <w:p w:rsidR="00000000" w:rsidRDefault="00B77CA8">
                                  <w:pPr>
                                    <w:pStyle w:val="Default"/>
                                    <w:rPr>
                                      <w:color w:val="313131"/>
                                      <w:sz w:val="23"/>
                                      <w:szCs w:val="23"/>
                                    </w:rPr>
                                  </w:pPr>
                                  <w:r>
                                    <w:rPr>
                                      <w:rFonts w:hint="eastAsia"/>
                                      <w:color w:val="313131"/>
                                      <w:sz w:val="23"/>
                                      <w:szCs w:val="23"/>
                                    </w:rPr>
                                    <w:t>第三條</w:t>
                                  </w:r>
                                  <w:r>
                                    <w:rPr>
                                      <w:color w:val="313131"/>
                                      <w:sz w:val="23"/>
                                      <w:szCs w:val="23"/>
                                    </w:rPr>
                                    <w:t xml:space="preserve"> </w:t>
                                  </w:r>
                                </w:p>
                              </w:tc>
                              <w:tc>
                                <w:tcPr>
                                  <w:tcW w:w="9430" w:type="dxa"/>
                                  <w:vAlign w:val="bottom"/>
                                </w:tcPr>
                                <w:p w:rsidR="00000000" w:rsidRDefault="00B77CA8">
                                  <w:pPr>
                                    <w:pStyle w:val="Default"/>
                                    <w:rPr>
                                      <w:color w:val="313131"/>
                                      <w:sz w:val="23"/>
                                      <w:szCs w:val="23"/>
                                    </w:rPr>
                                  </w:pPr>
                                  <w:r>
                                    <w:rPr>
                                      <w:rFonts w:hint="eastAsia"/>
                                      <w:color w:val="313131"/>
                                      <w:sz w:val="23"/>
                                      <w:szCs w:val="23"/>
                                    </w:rPr>
                                    <w:t>主管機關應視需要得依本法第三條規定之文化資產類別分設審議委員會，各置委員九人</w:t>
                                  </w:r>
                                  <w:r>
                                    <w:rPr>
                                      <w:color w:val="313131"/>
                                      <w:sz w:val="23"/>
                                      <w:szCs w:val="23"/>
                                    </w:rPr>
                                    <w:t xml:space="preserve">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pt;margin-top:76.75pt;width:560pt;height:16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suAIAALo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" o:allowincell="f" filled="f" stroked="f">
                <v:textbox>
                  <w:txbxContent>
                    <w:p w:rsidR="00000000" w:rsidRDefault="00B77CA8">
                      <w:pPr>
                        <w:autoSpaceDE w:val="0"/>
                        <w:autoSpaceDN w:val="0"/>
                        <w:adjustRightInd w:val="0"/>
                        <w:rPr>
                          <w:rFonts w:ascii="新細明體" w:eastAsia="新細明體"/>
                          <w:kern w:val="0"/>
                          <w:szCs w:val="24"/>
                        </w:rPr>
                      </w:pPr>
                    </w:p>
                    <w:tbl>
                      <w:tblPr>
                        <w:tblW w:w="0" w:type="auto"/>
                        <w:tblBorders>
                          <w:top w:val="nil"/>
                          <w:left w:val="nil"/>
                          <w:bottom w:val="nil"/>
                          <w:right w:val="nil"/>
                        </w:tblBorders>
                        <w:tblLayout w:type="fixed"/>
                        <w:tblLook w:val="0000" w:firstRow="0" w:lastRow="0" w:firstColumn="0" w:lastColumn="0" w:noHBand="0" w:noVBand="0"/>
                      </w:tblPr>
                      <w:tblGrid>
                        <w:gridCol w:w="970"/>
                        <w:gridCol w:w="9430"/>
                      </w:tblGrid>
                      <w:tr w:rsidR="00000000">
                        <w:tblPrEx>
                          <w:tblCellMar>
                            <w:top w:w="0" w:type="dxa"/>
                            <w:bottom w:w="0" w:type="dxa"/>
                          </w:tblCellMar>
                        </w:tblPrEx>
                        <w:trPr>
                          <w:trHeight w:val="362"/>
                        </w:trPr>
                        <w:tc>
                          <w:tcPr>
                            <w:tcW w:w="970" w:type="dxa"/>
                          </w:tcPr>
                          <w:p w:rsidR="00000000" w:rsidRDefault="00B77CA8">
                            <w:pPr>
                              <w:pStyle w:val="Default"/>
                              <w:rPr>
                                <w:color w:val="313131"/>
                                <w:sz w:val="23"/>
                                <w:szCs w:val="23"/>
                              </w:rPr>
                            </w:pPr>
                            <w:r>
                              <w:rPr>
                                <w:rFonts w:hint="eastAsia"/>
                                <w:color w:val="313131"/>
                                <w:sz w:val="23"/>
                                <w:szCs w:val="23"/>
                              </w:rPr>
                              <w:t>第一條</w:t>
                            </w:r>
                            <w:r>
                              <w:rPr>
                                <w:color w:val="313131"/>
                                <w:sz w:val="23"/>
                                <w:szCs w:val="23"/>
                              </w:rPr>
                              <w:t xml:space="preserve"> </w:t>
                            </w:r>
                          </w:p>
                        </w:tc>
                        <w:tc>
                          <w:tcPr>
                            <w:tcW w:w="9430" w:type="dxa"/>
                          </w:tcPr>
                          <w:p w:rsidR="00000000" w:rsidRDefault="00B77CA8">
                            <w:pPr>
                              <w:pStyle w:val="Default"/>
                              <w:rPr>
                                <w:color w:val="313131"/>
                                <w:sz w:val="23"/>
                                <w:szCs w:val="23"/>
                              </w:rPr>
                            </w:pPr>
                            <w:r>
                              <w:rPr>
                                <w:rFonts w:hint="eastAsia"/>
                                <w:color w:val="313131"/>
                                <w:sz w:val="23"/>
                                <w:szCs w:val="23"/>
                              </w:rPr>
                              <w:t>本準則依文化資產保存法</w:t>
                            </w:r>
                            <w:r>
                              <w:rPr>
                                <w:color w:val="313131"/>
                                <w:sz w:val="23"/>
                                <w:szCs w:val="23"/>
                              </w:rPr>
                              <w:t>(</w:t>
                            </w:r>
                            <w:r>
                              <w:rPr>
                                <w:rFonts w:hint="eastAsia"/>
                                <w:color w:val="313131"/>
                                <w:sz w:val="23"/>
                                <w:szCs w:val="23"/>
                              </w:rPr>
                              <w:t>以下簡稱本法</w:t>
                            </w:r>
                            <w:r>
                              <w:rPr>
                                <w:color w:val="313131"/>
                                <w:sz w:val="23"/>
                                <w:szCs w:val="23"/>
                              </w:rPr>
                              <w:t>)</w:t>
                            </w:r>
                            <w:r>
                              <w:rPr>
                                <w:rFonts w:hint="eastAsia"/>
                                <w:color w:val="313131"/>
                                <w:sz w:val="23"/>
                                <w:szCs w:val="23"/>
                              </w:rPr>
                              <w:t>第六條第二項規定訂定之。</w:t>
                            </w:r>
                            <w:r>
                              <w:rPr>
                                <w:color w:val="313131"/>
                                <w:sz w:val="23"/>
                                <w:szCs w:val="23"/>
                              </w:rPr>
                              <w:t xml:space="preserve"> </w:t>
                            </w:r>
                          </w:p>
                        </w:tc>
                      </w:tr>
                      <w:tr w:rsidR="00000000">
                        <w:tblPrEx>
                          <w:tblCellMar>
                            <w:top w:w="0" w:type="dxa"/>
                            <w:bottom w:w="0" w:type="dxa"/>
                          </w:tblCellMar>
                        </w:tblPrEx>
                        <w:trPr>
                          <w:trHeight w:val="1702"/>
                        </w:trPr>
                        <w:tc>
                          <w:tcPr>
                            <w:tcW w:w="970" w:type="dxa"/>
                          </w:tcPr>
                          <w:p w:rsidR="00000000" w:rsidRDefault="00B77CA8">
                            <w:pPr>
                              <w:pStyle w:val="Default"/>
                              <w:rPr>
                                <w:color w:val="313131"/>
                                <w:sz w:val="23"/>
                                <w:szCs w:val="23"/>
                              </w:rPr>
                            </w:pPr>
                            <w:r>
                              <w:rPr>
                                <w:rFonts w:hint="eastAsia"/>
                                <w:color w:val="313131"/>
                                <w:sz w:val="23"/>
                                <w:szCs w:val="23"/>
                              </w:rPr>
                              <w:t>第二條</w:t>
                            </w:r>
                            <w:r>
                              <w:rPr>
                                <w:color w:val="313131"/>
                                <w:sz w:val="23"/>
                                <w:szCs w:val="23"/>
                              </w:rPr>
                              <w:t xml:space="preserve"> </w:t>
                            </w:r>
                          </w:p>
                        </w:tc>
                        <w:tc>
                          <w:tcPr>
                            <w:tcW w:w="9430" w:type="dxa"/>
                          </w:tcPr>
                          <w:p w:rsidR="00000000" w:rsidRDefault="00B77CA8">
                            <w:pPr>
                              <w:pStyle w:val="Default"/>
                              <w:rPr>
                                <w:color w:val="313131"/>
                                <w:sz w:val="23"/>
                                <w:szCs w:val="23"/>
                              </w:rPr>
                            </w:pPr>
                            <w:r>
                              <w:rPr>
                                <w:rFonts w:hint="eastAsia"/>
                                <w:color w:val="313131"/>
                                <w:sz w:val="23"/>
                                <w:szCs w:val="23"/>
                              </w:rPr>
                              <w:t>文化資產審議委員會</w:t>
                            </w:r>
                            <w:r>
                              <w:rPr>
                                <w:color w:val="313131"/>
                                <w:sz w:val="23"/>
                                <w:szCs w:val="23"/>
                              </w:rPr>
                              <w:t>(</w:t>
                            </w:r>
                            <w:r>
                              <w:rPr>
                                <w:rFonts w:hint="eastAsia"/>
                                <w:color w:val="313131"/>
                                <w:sz w:val="23"/>
                                <w:szCs w:val="23"/>
                              </w:rPr>
                              <w:t>以下簡稱審議委員會</w:t>
                            </w:r>
                            <w:r>
                              <w:rPr>
                                <w:color w:val="313131"/>
                                <w:sz w:val="23"/>
                                <w:szCs w:val="23"/>
                              </w:rPr>
                              <w:t>)</w:t>
                            </w:r>
                            <w:r>
                              <w:rPr>
                                <w:rFonts w:hint="eastAsia"/>
                                <w:color w:val="313131"/>
                                <w:sz w:val="23"/>
                                <w:szCs w:val="23"/>
                              </w:rPr>
                              <w:t>審議事項如下：</w:t>
                            </w:r>
                            <w:r>
                              <w:rPr>
                                <w:color w:val="313131"/>
                                <w:sz w:val="23"/>
                                <w:szCs w:val="23"/>
                              </w:rPr>
                              <w:t xml:space="preserve"> </w:t>
                            </w:r>
                            <w:r>
                              <w:rPr>
                                <w:rFonts w:hint="eastAsia"/>
                                <w:color w:val="313131"/>
                                <w:sz w:val="23"/>
                                <w:szCs w:val="23"/>
                              </w:rPr>
                              <w:t>一、各類文化資產指定之審議事項。</w:t>
                            </w:r>
                            <w:r>
                              <w:rPr>
                                <w:color w:val="313131"/>
                                <w:sz w:val="23"/>
                                <w:szCs w:val="23"/>
                              </w:rPr>
                              <w:t xml:space="preserve"> </w:t>
                            </w:r>
                            <w:r>
                              <w:rPr>
                                <w:rFonts w:hint="eastAsia"/>
                                <w:color w:val="313131"/>
                                <w:sz w:val="23"/>
                                <w:szCs w:val="23"/>
                              </w:rPr>
                              <w:t>二、各類文化資產登錄之審議事項。</w:t>
                            </w:r>
                            <w:r>
                              <w:rPr>
                                <w:color w:val="313131"/>
                                <w:sz w:val="23"/>
                                <w:szCs w:val="23"/>
                              </w:rPr>
                              <w:t xml:space="preserve"> </w:t>
                            </w:r>
                            <w:r>
                              <w:rPr>
                                <w:rFonts w:hint="eastAsia"/>
                                <w:color w:val="313131"/>
                                <w:sz w:val="23"/>
                                <w:szCs w:val="23"/>
                              </w:rPr>
                              <w:t>三、其他本法規定重大事項之審議。</w:t>
                            </w:r>
                            <w:r>
                              <w:rPr>
                                <w:color w:val="313131"/>
                                <w:sz w:val="23"/>
                                <w:szCs w:val="23"/>
                              </w:rPr>
                              <w:t xml:space="preserve"> </w:t>
                            </w:r>
                          </w:p>
                        </w:tc>
                      </w:tr>
                      <w:tr w:rsidR="00000000">
                        <w:tblPrEx>
                          <w:tblCellMar>
                            <w:top w:w="0" w:type="dxa"/>
                            <w:bottom w:w="0" w:type="dxa"/>
                          </w:tblCellMar>
                        </w:tblPrEx>
                        <w:trPr>
                          <w:trHeight w:val="367"/>
                        </w:trPr>
                        <w:tc>
                          <w:tcPr>
                            <w:tcW w:w="970" w:type="dxa"/>
                            <w:vAlign w:val="bottom"/>
                          </w:tcPr>
                          <w:p w:rsidR="00000000" w:rsidRDefault="00B77CA8">
                            <w:pPr>
                              <w:pStyle w:val="Default"/>
                              <w:rPr>
                                <w:color w:val="313131"/>
                                <w:sz w:val="23"/>
                                <w:szCs w:val="23"/>
                              </w:rPr>
                            </w:pPr>
                            <w:r>
                              <w:rPr>
                                <w:rFonts w:hint="eastAsia"/>
                                <w:color w:val="313131"/>
                                <w:sz w:val="23"/>
                                <w:szCs w:val="23"/>
                              </w:rPr>
                              <w:t>第三條</w:t>
                            </w:r>
                            <w:r>
                              <w:rPr>
                                <w:color w:val="313131"/>
                                <w:sz w:val="23"/>
                                <w:szCs w:val="23"/>
                              </w:rPr>
                              <w:t xml:space="preserve"> </w:t>
                            </w:r>
                          </w:p>
                        </w:tc>
                        <w:tc>
                          <w:tcPr>
                            <w:tcW w:w="9430" w:type="dxa"/>
                            <w:vAlign w:val="bottom"/>
                          </w:tcPr>
                          <w:p w:rsidR="00000000" w:rsidRDefault="00B77CA8">
                            <w:pPr>
                              <w:pStyle w:val="Default"/>
                              <w:rPr>
                                <w:color w:val="313131"/>
                                <w:sz w:val="23"/>
                                <w:szCs w:val="23"/>
                              </w:rPr>
                            </w:pPr>
                            <w:r>
                              <w:rPr>
                                <w:rFonts w:hint="eastAsia"/>
                                <w:color w:val="313131"/>
                                <w:sz w:val="23"/>
                                <w:szCs w:val="23"/>
                              </w:rPr>
                              <w:t>主管機關應視需要得依本法第三條規定之文化資產類別分設審議委員會，各置委員九人</w:t>
                            </w:r>
                            <w:r>
                              <w:rPr>
                                <w:color w:val="313131"/>
                                <w:sz w:val="23"/>
                                <w:szCs w:val="23"/>
                              </w:rPr>
                              <w:t xml:space="preserve"> </w:t>
                            </w:r>
                          </w:p>
                        </w:tc>
                      </w:tr>
                    </w:tbl>
                  </w:txbxContent>
                </v:textbox>
                <w10:wrap type="through" anchorx="page" anchory="page"/>
              </v:shape>
            </w:pict>
          </mc:Fallback>
        </mc:AlternateContent>
      </w:r>
    </w:p>
    <w:p w:rsidR="00000000" w:rsidRDefault="00B77CA8">
      <w:pPr>
        <w:pStyle w:val="CM2"/>
        <w:framePr w:w="5902" w:wrap="auto" w:vAnchor="page" w:hAnchor="page" w:x="1444" w:y="4086"/>
        <w:spacing w:line="303" w:lineRule="atLeast"/>
        <w:rPr>
          <w:sz w:val="23"/>
          <w:szCs w:val="23"/>
        </w:rPr>
      </w:pPr>
      <w:r>
        <w:rPr>
          <w:sz w:val="23"/>
          <w:szCs w:val="23"/>
        </w:rPr>
        <w:t>至二十一人，由機關代表及專家學者擔任。</w:t>
      </w:r>
      <w:r>
        <w:rPr>
          <w:sz w:val="23"/>
          <w:szCs w:val="23"/>
        </w:rPr>
        <w:t xml:space="preserve"> </w:t>
      </w:r>
      <w:r>
        <w:rPr>
          <w:sz w:val="23"/>
          <w:szCs w:val="23"/>
        </w:rPr>
        <w:t>前項專家學者人數不得少於委員總人數三分之二。</w:t>
      </w:r>
      <w:r>
        <w:rPr>
          <w:sz w:val="23"/>
          <w:szCs w:val="23"/>
        </w:rPr>
        <w:t xml:space="preserve"> </w:t>
      </w:r>
    </w:p>
    <w:p w:rsidR="00000000" w:rsidRDefault="00B77CA8">
      <w:pPr>
        <w:pStyle w:val="CM2"/>
        <w:framePr w:w="10459" w:wrap="auto" w:vAnchor="page" w:hAnchor="page" w:x="695" w:y="4936"/>
        <w:spacing w:line="348" w:lineRule="atLeast"/>
        <w:rPr>
          <w:sz w:val="23"/>
          <w:szCs w:val="23"/>
        </w:rPr>
      </w:pPr>
      <w:r>
        <w:rPr>
          <w:sz w:val="23"/>
          <w:szCs w:val="23"/>
        </w:rPr>
        <w:t>第四條</w:t>
      </w:r>
      <w:r>
        <w:rPr>
          <w:sz w:val="23"/>
          <w:szCs w:val="23"/>
        </w:rPr>
        <w:t xml:space="preserve"> </w:t>
      </w:r>
      <w:r>
        <w:rPr>
          <w:sz w:val="23"/>
          <w:szCs w:val="23"/>
        </w:rPr>
        <w:t>審議委員會置主任委員一人，由主管機</w:t>
      </w:r>
      <w:r>
        <w:rPr>
          <w:sz w:val="23"/>
          <w:szCs w:val="23"/>
        </w:rPr>
        <w:t>關首長為主任委員兼任主席，或由機關首長指定</w:t>
      </w:r>
      <w:r>
        <w:rPr>
          <w:sz w:val="23"/>
          <w:szCs w:val="23"/>
        </w:rPr>
        <w:t xml:space="preserve"> </w:t>
      </w:r>
      <w:r>
        <w:rPr>
          <w:sz w:val="23"/>
          <w:szCs w:val="23"/>
        </w:rPr>
        <w:t>之。</w:t>
      </w:r>
      <w:r>
        <w:rPr>
          <w:sz w:val="23"/>
          <w:szCs w:val="23"/>
        </w:rPr>
        <w:t xml:space="preserve"> </w:t>
      </w:r>
      <w:r>
        <w:rPr>
          <w:sz w:val="23"/>
          <w:szCs w:val="23"/>
        </w:rPr>
        <w:t>主任委員不克出席時，由出席委員互推一人為主席。</w:t>
      </w:r>
      <w:r>
        <w:rPr>
          <w:sz w:val="23"/>
          <w:szCs w:val="23"/>
        </w:rPr>
        <w:t xml:space="preserve"> </w:t>
      </w:r>
    </w:p>
    <w:p w:rsidR="00000000" w:rsidRDefault="00B77CA8">
      <w:pPr>
        <w:pStyle w:val="CM2"/>
        <w:framePr w:w="10397" w:wrap="auto" w:vAnchor="page" w:hAnchor="page" w:x="695" w:y="6204"/>
        <w:spacing w:line="348" w:lineRule="atLeast"/>
        <w:jc w:val="both"/>
        <w:rPr>
          <w:sz w:val="23"/>
          <w:szCs w:val="23"/>
        </w:rPr>
      </w:pPr>
      <w:r>
        <w:rPr>
          <w:sz w:val="23"/>
          <w:szCs w:val="23"/>
        </w:rPr>
        <w:t>第五條</w:t>
      </w:r>
      <w:r>
        <w:rPr>
          <w:sz w:val="23"/>
          <w:szCs w:val="23"/>
        </w:rPr>
        <w:t xml:space="preserve"> </w:t>
      </w:r>
      <w:r>
        <w:rPr>
          <w:sz w:val="23"/>
          <w:szCs w:val="23"/>
        </w:rPr>
        <w:t>審議委員會委員任期二年，期滿得續聘之。但機關代表隨其本職進退。委員出缺時，得</w:t>
      </w:r>
      <w:r>
        <w:rPr>
          <w:sz w:val="23"/>
          <w:szCs w:val="23"/>
        </w:rPr>
        <w:t xml:space="preserve"> </w:t>
      </w:r>
      <w:r>
        <w:rPr>
          <w:sz w:val="23"/>
          <w:szCs w:val="23"/>
        </w:rPr>
        <w:t>予補聘，其任期至原委員任期屆滿之日為止。</w:t>
      </w:r>
      <w:r>
        <w:rPr>
          <w:sz w:val="23"/>
          <w:szCs w:val="23"/>
        </w:rPr>
        <w:t xml:space="preserve"> </w:t>
      </w:r>
    </w:p>
    <w:p w:rsidR="00000000" w:rsidRDefault="00B77CA8">
      <w:pPr>
        <w:pStyle w:val="Default"/>
        <w:framePr w:w="10251" w:wrap="auto" w:vAnchor="page" w:hAnchor="page" w:x="695" w:y="7102"/>
        <w:spacing w:line="336" w:lineRule="atLeast"/>
        <w:rPr>
          <w:rFonts w:cstheme="minorBidi"/>
          <w:color w:val="auto"/>
          <w:sz w:val="23"/>
          <w:szCs w:val="23"/>
        </w:rPr>
      </w:pPr>
      <w:r>
        <w:rPr>
          <w:rFonts w:cstheme="minorBidi"/>
          <w:color w:val="auto"/>
          <w:sz w:val="23"/>
          <w:szCs w:val="23"/>
        </w:rPr>
        <w:t>第六條</w:t>
      </w:r>
      <w:r>
        <w:rPr>
          <w:rFonts w:cstheme="minorBidi"/>
          <w:color w:val="auto"/>
          <w:sz w:val="23"/>
          <w:szCs w:val="23"/>
        </w:rPr>
        <w:t xml:space="preserve"> </w:t>
      </w:r>
      <w:r>
        <w:rPr>
          <w:rFonts w:cstheme="minorBidi"/>
          <w:color w:val="auto"/>
          <w:sz w:val="23"/>
          <w:szCs w:val="23"/>
        </w:rPr>
        <w:t>審議委員會應定期舉行會議，必要時得召開臨時會議。</w:t>
      </w:r>
      <w:r>
        <w:rPr>
          <w:rFonts w:cstheme="minorBidi"/>
          <w:color w:val="auto"/>
          <w:sz w:val="23"/>
          <w:szCs w:val="23"/>
        </w:rPr>
        <w:t xml:space="preserve"> </w:t>
      </w:r>
      <w:r>
        <w:rPr>
          <w:rFonts w:cstheme="minorBidi"/>
          <w:color w:val="auto"/>
          <w:sz w:val="23"/>
          <w:szCs w:val="23"/>
        </w:rPr>
        <w:t>前項會議召開時，應邀請文化資產所有人、使用人、管理人或其他利害關係人陳述意</w:t>
      </w:r>
      <w:r>
        <w:rPr>
          <w:rFonts w:cstheme="minorBidi"/>
          <w:color w:val="auto"/>
          <w:sz w:val="23"/>
          <w:szCs w:val="23"/>
        </w:rPr>
        <w:t xml:space="preserve"> </w:t>
      </w:r>
      <w:r>
        <w:rPr>
          <w:rFonts w:cstheme="minorBidi"/>
          <w:color w:val="auto"/>
          <w:sz w:val="23"/>
          <w:szCs w:val="23"/>
        </w:rPr>
        <w:t>見。</w:t>
      </w:r>
      <w:r>
        <w:rPr>
          <w:rFonts w:cstheme="minorBidi"/>
          <w:color w:val="auto"/>
          <w:sz w:val="23"/>
          <w:szCs w:val="23"/>
        </w:rPr>
        <w:t xml:space="preserve"> </w:t>
      </w:r>
    </w:p>
    <w:p w:rsidR="00000000" w:rsidRDefault="00B77CA8">
      <w:pPr>
        <w:pStyle w:val="CM2"/>
        <w:framePr w:w="10428" w:wrap="auto" w:vAnchor="page" w:hAnchor="page" w:x="695" w:y="8346"/>
        <w:spacing w:line="308" w:lineRule="atLeast"/>
        <w:rPr>
          <w:sz w:val="23"/>
          <w:szCs w:val="23"/>
        </w:rPr>
      </w:pPr>
      <w:r>
        <w:rPr>
          <w:sz w:val="23"/>
          <w:szCs w:val="23"/>
        </w:rPr>
        <w:t>第七條</w:t>
      </w:r>
      <w:r>
        <w:rPr>
          <w:sz w:val="23"/>
          <w:szCs w:val="23"/>
        </w:rPr>
        <w:t xml:space="preserve"> </w:t>
      </w:r>
      <w:r>
        <w:rPr>
          <w:sz w:val="23"/>
          <w:szCs w:val="23"/>
        </w:rPr>
        <w:t>委員應親自出席會議，會議之決議，以二分之一委員之出席，出席委員三分之二以上同</w:t>
      </w:r>
      <w:r>
        <w:rPr>
          <w:sz w:val="23"/>
          <w:szCs w:val="23"/>
        </w:rPr>
        <w:t xml:space="preserve"> </w:t>
      </w:r>
      <w:r>
        <w:rPr>
          <w:sz w:val="23"/>
          <w:szCs w:val="23"/>
        </w:rPr>
        <w:t>意行之。</w:t>
      </w:r>
      <w:r>
        <w:rPr>
          <w:sz w:val="23"/>
          <w:szCs w:val="23"/>
        </w:rPr>
        <w:t xml:space="preserve"> </w:t>
      </w:r>
      <w:r>
        <w:rPr>
          <w:sz w:val="23"/>
          <w:szCs w:val="23"/>
        </w:rPr>
        <w:t>由機關代表兼任之委員未能親自出席時，得指派代</w:t>
      </w:r>
      <w:r>
        <w:rPr>
          <w:sz w:val="23"/>
          <w:szCs w:val="23"/>
        </w:rPr>
        <w:t>表列席，並參與會議發言，但不得參</w:t>
      </w:r>
      <w:r>
        <w:rPr>
          <w:sz w:val="23"/>
          <w:szCs w:val="23"/>
        </w:rPr>
        <w:t xml:space="preserve"> </w:t>
      </w:r>
      <w:r>
        <w:rPr>
          <w:sz w:val="23"/>
          <w:szCs w:val="23"/>
        </w:rPr>
        <w:t>與</w:t>
      </w:r>
      <w:r>
        <w:rPr>
          <w:sz w:val="23"/>
          <w:szCs w:val="23"/>
        </w:rPr>
        <w:t xml:space="preserve"> </w:t>
      </w:r>
      <w:r>
        <w:rPr>
          <w:sz w:val="23"/>
          <w:szCs w:val="23"/>
        </w:rPr>
        <w:t>表決。</w:t>
      </w:r>
      <w:r>
        <w:rPr>
          <w:sz w:val="23"/>
          <w:szCs w:val="23"/>
        </w:rPr>
        <w:t xml:space="preserve"> </w:t>
      </w:r>
    </w:p>
    <w:p w:rsidR="00000000" w:rsidRDefault="00B77CA8">
      <w:pPr>
        <w:pStyle w:val="CM2"/>
        <w:framePr w:w="10897" w:wrap="auto" w:vAnchor="page" w:hAnchor="page" w:x="695" w:y="9795"/>
        <w:spacing w:line="308" w:lineRule="atLeast"/>
        <w:rPr>
          <w:sz w:val="23"/>
          <w:szCs w:val="23"/>
        </w:rPr>
      </w:pPr>
      <w:r>
        <w:rPr>
          <w:sz w:val="23"/>
          <w:szCs w:val="23"/>
        </w:rPr>
        <w:t>第八條</w:t>
      </w:r>
      <w:r>
        <w:rPr>
          <w:sz w:val="23"/>
          <w:szCs w:val="23"/>
        </w:rPr>
        <w:t xml:space="preserve"> </w:t>
      </w:r>
      <w:r>
        <w:rPr>
          <w:sz w:val="23"/>
          <w:szCs w:val="23"/>
        </w:rPr>
        <w:t>審議委員會有關利益迴避之規定，依行政程序法第三十二條及第三十三條規定為之。</w:t>
      </w:r>
      <w:r>
        <w:rPr>
          <w:sz w:val="23"/>
          <w:szCs w:val="23"/>
        </w:rPr>
        <w:t xml:space="preserve"> </w:t>
      </w:r>
    </w:p>
    <w:p w:rsidR="00000000" w:rsidRDefault="00B77CA8">
      <w:pPr>
        <w:pStyle w:val="CM2"/>
        <w:framePr w:w="10397" w:wrap="auto" w:vAnchor="page" w:hAnchor="page" w:x="695" w:y="10344"/>
        <w:spacing w:line="336" w:lineRule="atLeast"/>
        <w:rPr>
          <w:sz w:val="23"/>
          <w:szCs w:val="23"/>
        </w:rPr>
      </w:pPr>
      <w:r>
        <w:rPr>
          <w:sz w:val="23"/>
          <w:szCs w:val="23"/>
        </w:rPr>
        <w:t>第九條</w:t>
      </w:r>
      <w:r>
        <w:rPr>
          <w:sz w:val="23"/>
          <w:szCs w:val="23"/>
        </w:rPr>
        <w:t xml:space="preserve"> </w:t>
      </w:r>
      <w:r>
        <w:rPr>
          <w:sz w:val="23"/>
          <w:szCs w:val="23"/>
        </w:rPr>
        <w:t>審議委員會為審議有關案件之需要，得推派委員偕同業務有關人員組成專案小組現場勘</w:t>
      </w:r>
      <w:r>
        <w:rPr>
          <w:sz w:val="23"/>
          <w:szCs w:val="23"/>
        </w:rPr>
        <w:t xml:space="preserve"> </w:t>
      </w:r>
      <w:r>
        <w:rPr>
          <w:sz w:val="23"/>
          <w:szCs w:val="23"/>
        </w:rPr>
        <w:t>查或訪查，並研擬意見，提供會議參考。</w:t>
      </w:r>
      <w:r>
        <w:rPr>
          <w:sz w:val="23"/>
          <w:szCs w:val="23"/>
        </w:rPr>
        <w:t xml:space="preserve"> </w:t>
      </w:r>
      <w:r>
        <w:rPr>
          <w:sz w:val="23"/>
          <w:szCs w:val="23"/>
        </w:rPr>
        <w:t>前項專案小組，得邀請專家學者及有關機關代表提供諮詢意見。</w:t>
      </w:r>
      <w:r>
        <w:rPr>
          <w:sz w:val="23"/>
          <w:szCs w:val="23"/>
        </w:rPr>
        <w:t xml:space="preserve"> </w:t>
      </w:r>
    </w:p>
    <w:p w:rsidR="00000000" w:rsidRDefault="00B77CA8">
      <w:pPr>
        <w:pStyle w:val="CM2"/>
        <w:framePr w:w="7296" w:wrap="auto" w:vAnchor="page" w:hAnchor="page" w:x="696" w:y="11541"/>
        <w:spacing w:line="336" w:lineRule="atLeast"/>
        <w:rPr>
          <w:sz w:val="23"/>
          <w:szCs w:val="23"/>
        </w:rPr>
      </w:pPr>
      <w:r>
        <w:rPr>
          <w:sz w:val="23"/>
          <w:szCs w:val="23"/>
        </w:rPr>
        <w:t>第十條</w:t>
      </w:r>
      <w:r>
        <w:rPr>
          <w:sz w:val="23"/>
          <w:szCs w:val="23"/>
        </w:rPr>
        <w:t xml:space="preserve"> </w:t>
      </w:r>
      <w:r>
        <w:rPr>
          <w:sz w:val="23"/>
          <w:szCs w:val="23"/>
        </w:rPr>
        <w:t>審議委員會所需經費，由主管機關編列預算支應。</w:t>
      </w:r>
      <w:r>
        <w:rPr>
          <w:sz w:val="23"/>
          <w:szCs w:val="23"/>
        </w:rPr>
        <w:t xml:space="preserve"> </w:t>
      </w:r>
    </w:p>
    <w:p w:rsidR="00000000" w:rsidRDefault="00B77CA8">
      <w:pPr>
        <w:pStyle w:val="CM2"/>
        <w:framePr w:w="5377" w:wrap="auto" w:vAnchor="page" w:hAnchor="page" w:x="695" w:y="12066"/>
        <w:spacing w:line="336" w:lineRule="atLeast"/>
        <w:rPr>
          <w:sz w:val="23"/>
          <w:szCs w:val="23"/>
        </w:rPr>
      </w:pPr>
      <w:r>
        <w:rPr>
          <w:sz w:val="23"/>
          <w:szCs w:val="23"/>
        </w:rPr>
        <w:t>第十一條</w:t>
      </w:r>
      <w:r>
        <w:rPr>
          <w:sz w:val="23"/>
          <w:szCs w:val="23"/>
        </w:rPr>
        <w:t xml:space="preserve"> </w:t>
      </w:r>
      <w:r>
        <w:rPr>
          <w:sz w:val="23"/>
          <w:szCs w:val="23"/>
        </w:rPr>
        <w:t>審議委員會委員均為無給職。</w:t>
      </w:r>
      <w:r>
        <w:rPr>
          <w:sz w:val="23"/>
          <w:szCs w:val="23"/>
        </w:rPr>
        <w:t xml:space="preserve"> </w:t>
      </w:r>
    </w:p>
    <w:p w:rsidR="00B77CA8" w:rsidRDefault="00B77CA8">
      <w:pPr>
        <w:pStyle w:val="CM1"/>
        <w:framePr w:w="4657" w:wrap="auto" w:vAnchor="page" w:hAnchor="page" w:x="695" w:y="12591"/>
      </w:pPr>
      <w:r>
        <w:rPr>
          <w:sz w:val="23"/>
          <w:szCs w:val="23"/>
        </w:rPr>
        <w:t>第十二條</w:t>
      </w:r>
      <w:r>
        <w:rPr>
          <w:sz w:val="23"/>
          <w:szCs w:val="23"/>
        </w:rPr>
        <w:t xml:space="preserve"> </w:t>
      </w:r>
      <w:r>
        <w:rPr>
          <w:sz w:val="23"/>
          <w:szCs w:val="23"/>
        </w:rPr>
        <w:t>本準則自發布日施行。</w:t>
      </w:r>
      <w:r>
        <w:rPr>
          <w:sz w:val="23"/>
          <w:szCs w:val="23"/>
        </w:rPr>
        <w:t xml:space="preserve"> </w:t>
      </w:r>
    </w:p>
    <w:sectPr w:rsidR="00B77CA8">
      <w:pgSz w:w="11900" w:h="16840"/>
      <w:pgMar w:top="427" w:right="530" w:bottom="1440" w:left="64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E0"/>
    <w:rsid w:val="00B77CA8"/>
    <w:rsid w:val="00C379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DC39DF-E4DD-46BF-87DD-C2055D9A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新細明體" w:eastAsia="新細明體" w:cs="新細明體"/>
      <w:color w:val="000000"/>
      <w:kern w:val="0"/>
      <w:szCs w:val="24"/>
    </w:rPr>
  </w:style>
  <w:style w:type="paragraph" w:customStyle="1" w:styleId="CM2">
    <w:name w:val="CM2"/>
    <w:basedOn w:val="Default"/>
    <w:next w:val="Default"/>
    <w:uiPriority w:val="99"/>
    <w:rPr>
      <w:rFonts w:cstheme="minorBidi"/>
      <w:color w:val="auto"/>
    </w:rPr>
  </w:style>
  <w:style w:type="paragraph" w:customStyle="1" w:styleId="CM1">
    <w:name w:val="CM1"/>
    <w:basedOn w:val="Default"/>
    <w:next w:val="Default"/>
    <w:uiPriority w:val="99"/>
    <w:pPr>
      <w:spacing w:line="336"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許庭馨</dc:creator>
  <cp:keywords/>
  <dc:description/>
  <cp:lastModifiedBy>許庭馨</cp:lastModifiedBy>
  <cp:revision>2</cp:revision>
  <dcterms:created xsi:type="dcterms:W3CDTF">2019-01-23T08:43:00Z</dcterms:created>
  <dcterms:modified xsi:type="dcterms:W3CDTF">2019-01-23T08:43:00Z</dcterms:modified>
</cp:coreProperties>
</file>