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B262A">
      <w:pPr>
        <w:pStyle w:val="CM1"/>
        <w:framePr w:w="844" w:wrap="auto" w:vAnchor="page" w:hAnchor="page" w:x="956" w:y="2533"/>
        <w:jc w:val="center"/>
        <w:rPr>
          <w:rFonts w:cs="新細明體"/>
          <w:color w:val="313131"/>
          <w:sz w:val="23"/>
          <w:szCs w:val="23"/>
        </w:rPr>
      </w:pPr>
      <w:bookmarkStart w:id="0" w:name="_GoBack"/>
      <w:bookmarkEnd w:id="0"/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第一條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第二條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CM1"/>
        <w:framePr w:w="1522" w:wrap="auto" w:vAnchor="page" w:hAnchor="page" w:x="1018" w:y="5869"/>
        <w:jc w:val="center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第三條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CM1"/>
        <w:framePr w:w="1522" w:wrap="auto" w:vAnchor="page" w:hAnchor="page" w:x="1018" w:y="13780"/>
        <w:jc w:val="center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第四條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Default"/>
        <w:framePr w:w="6146" w:wrap="auto" w:vAnchor="page" w:hAnchor="page" w:x="4792" w:y="876"/>
        <w:spacing w:line="573" w:lineRule="atLeast"/>
        <w:rPr>
          <w:color w:val="313131"/>
          <w:sz w:val="19"/>
          <w:szCs w:val="19"/>
        </w:rPr>
      </w:pPr>
      <w:r>
        <w:rPr>
          <w:rFonts w:hint="eastAsia"/>
          <w:color w:val="313131"/>
          <w:sz w:val="22"/>
          <w:szCs w:val="22"/>
        </w:rPr>
        <w:t>古蹟修復及再利用辦法</w:t>
      </w:r>
      <w:r>
        <w:rPr>
          <w:rFonts w:hint="eastAsia"/>
          <w:color w:val="313131"/>
          <w:sz w:val="19"/>
          <w:szCs w:val="19"/>
        </w:rPr>
        <w:t>中華民國</w:t>
      </w:r>
      <w:r>
        <w:rPr>
          <w:color w:val="313131"/>
          <w:sz w:val="19"/>
          <w:szCs w:val="19"/>
        </w:rPr>
        <w:t>94</w:t>
      </w:r>
      <w:r>
        <w:rPr>
          <w:rFonts w:hint="eastAsia"/>
          <w:color w:val="313131"/>
          <w:sz w:val="19"/>
          <w:szCs w:val="19"/>
        </w:rPr>
        <w:t>年</w:t>
      </w:r>
      <w:r>
        <w:rPr>
          <w:color w:val="313131"/>
          <w:sz w:val="19"/>
          <w:szCs w:val="19"/>
        </w:rPr>
        <w:t>12</w:t>
      </w:r>
      <w:r>
        <w:rPr>
          <w:rFonts w:hint="eastAsia"/>
          <w:color w:val="313131"/>
          <w:sz w:val="19"/>
          <w:szCs w:val="19"/>
        </w:rPr>
        <w:t>月</w:t>
      </w:r>
      <w:r>
        <w:rPr>
          <w:color w:val="313131"/>
          <w:sz w:val="19"/>
          <w:szCs w:val="19"/>
        </w:rPr>
        <w:t>30</w:t>
      </w:r>
      <w:r>
        <w:rPr>
          <w:rFonts w:hint="eastAsia"/>
          <w:color w:val="313131"/>
          <w:sz w:val="19"/>
          <w:szCs w:val="19"/>
        </w:rPr>
        <w:t>日文壹字第</w:t>
      </w:r>
      <w:r>
        <w:rPr>
          <w:color w:val="313131"/>
          <w:sz w:val="19"/>
          <w:szCs w:val="19"/>
        </w:rPr>
        <w:t>0942130854-5</w:t>
      </w:r>
      <w:r>
        <w:rPr>
          <w:rFonts w:hint="eastAsia"/>
          <w:color w:val="313131"/>
          <w:sz w:val="19"/>
          <w:szCs w:val="19"/>
        </w:rPr>
        <w:t>號令發布</w:t>
      </w:r>
    </w:p>
    <w:p w:rsidR="00000000" w:rsidRDefault="000B262A">
      <w:pPr>
        <w:pStyle w:val="CM3"/>
        <w:framePr w:w="8721" w:wrap="auto" w:vAnchor="page" w:hAnchor="page" w:x="2234" w:y="2533"/>
        <w:spacing w:line="433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本辦法依文化資產保存法（以下簡稱本法）第二十一條第四項規定訂定之。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CM3"/>
        <w:framePr w:w="4141" w:wrap="auto" w:vAnchor="page" w:hAnchor="page" w:x="2233" w:y="3107"/>
        <w:spacing w:line="433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古蹟修復及再利用，其辦理事項如下：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一、修復或再利用計畫。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二、規劃設計。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三、施工、監造。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四、工作報告書。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五、其他相關事項。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CM2"/>
        <w:framePr w:w="8252" w:wrap="auto" w:vAnchor="page" w:hAnchor="page" w:x="2234" w:y="5869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前條第一款修復或再利用計畫，包括下列事項：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一、文獻史料之蒐集及修復沿革考證。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二、現況調查，包括環境、結構、構造與設備、損壞狀況等調查及破壞鑑定。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三、原有工法調查及施工方法研</w:t>
      </w:r>
      <w:r>
        <w:rPr>
          <w:rFonts w:cs="新細明體" w:hint="eastAsia"/>
          <w:color w:val="313131"/>
          <w:sz w:val="23"/>
          <w:szCs w:val="23"/>
        </w:rPr>
        <w:t>究。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四、必要之考古調查、發掘研究。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五、傳統匠師技藝及材料分析調查。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六、修復原則、方法之研擬及初步修復概算預估。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七、必要解體調查之範圍及方法、建議。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八、按比例之平面、立面、剖面、大樣等必要現況測繪及圖說製作。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Default"/>
        <w:framePr w:w="4142" w:wrap="auto" w:vAnchor="page" w:hAnchor="page" w:x="2265" w:y="9749"/>
        <w:spacing w:line="460" w:lineRule="atLeast"/>
        <w:rPr>
          <w:color w:val="313131"/>
          <w:sz w:val="23"/>
          <w:szCs w:val="23"/>
        </w:rPr>
      </w:pPr>
      <w:r>
        <w:rPr>
          <w:rFonts w:hint="eastAsia"/>
          <w:color w:val="313131"/>
          <w:sz w:val="23"/>
          <w:szCs w:val="23"/>
        </w:rPr>
        <w:t>九、再利用必要設施系統及經營管理。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十、其他相關事項。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前項第七款解體調查，包括下列事項：</w:t>
      </w:r>
      <w:r>
        <w:rPr>
          <w:color w:val="313131"/>
          <w:sz w:val="23"/>
          <w:szCs w:val="23"/>
        </w:rPr>
        <w:t xml:space="preserve"> </w:t>
      </w:r>
    </w:p>
    <w:p w:rsidR="00000000" w:rsidRDefault="000B262A">
      <w:pPr>
        <w:pStyle w:val="CM3"/>
        <w:framePr w:w="5102" w:wrap="auto" w:vAnchor="page" w:hAnchor="page" w:x="2265" w:y="11093"/>
        <w:spacing w:line="433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一、解體方法及安全保護措施。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二、材料與環境之科學檢測、實驗及紀錄。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三、解體調查工程之監督及紀錄。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四、原結構之檢討、分析及修復、加固之建議。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五、必要之考古分析及紀錄。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六、其他相關事項。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Default"/>
        <w:framePr w:w="4539" w:wrap="auto" w:vAnchor="page" w:hAnchor="page" w:x="2077" w:y="13780"/>
        <w:spacing w:line="436" w:lineRule="atLeast"/>
        <w:rPr>
          <w:color w:val="313131"/>
          <w:sz w:val="23"/>
          <w:szCs w:val="23"/>
        </w:rPr>
      </w:pPr>
      <w:r>
        <w:rPr>
          <w:rFonts w:hint="eastAsia"/>
          <w:color w:val="313131"/>
          <w:sz w:val="23"/>
          <w:szCs w:val="23"/>
        </w:rPr>
        <w:t>第</w:t>
      </w:r>
      <w:r>
        <w:rPr>
          <w:rFonts w:hint="eastAsia"/>
          <w:color w:val="313131"/>
          <w:sz w:val="23"/>
          <w:szCs w:val="23"/>
        </w:rPr>
        <w:t>二條第二款規劃設計，包括下列事項：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一、必要調查之資料整理分析。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二、規劃及設計方案之研擬。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三、現況之測繪。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四、修復或再利用圖樣之繪製。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五、必要之結構安全檢測及補強設計。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六、施工說明書之製作。</w:t>
      </w:r>
      <w:r>
        <w:rPr>
          <w:color w:val="313131"/>
          <w:sz w:val="23"/>
          <w:szCs w:val="23"/>
        </w:rPr>
        <w:t xml:space="preserve"> </w:t>
      </w:r>
    </w:p>
    <w:p w:rsidR="00000000" w:rsidRDefault="000B262A">
      <w:pPr>
        <w:pStyle w:val="CM3"/>
        <w:pageBreakBefore/>
        <w:framePr w:w="3263" w:wrap="auto" w:vAnchor="page" w:hAnchor="page" w:x="1892" w:y="678"/>
        <w:rPr>
          <w:rFonts w:cs="新細明體"/>
          <w:color w:val="313131"/>
          <w:sz w:val="23"/>
          <w:szCs w:val="23"/>
        </w:rPr>
      </w:pPr>
      <w:r>
        <w:rPr>
          <w:rFonts w:cs="新細明體"/>
          <w:color w:val="313131"/>
          <w:sz w:val="23"/>
          <w:szCs w:val="23"/>
        </w:rPr>
        <w:lastRenderedPageBreak/>
        <w:t xml:space="preserve"> </w:t>
      </w:r>
      <w:r>
        <w:rPr>
          <w:rFonts w:cs="新細明體" w:hint="eastAsia"/>
          <w:color w:val="313131"/>
          <w:sz w:val="23"/>
          <w:szCs w:val="23"/>
        </w:rPr>
        <w:t>七、工程預算之編列。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CM3"/>
        <w:framePr w:w="6980" w:wrap="auto" w:vAnchor="page" w:hAnchor="page" w:x="2264" w:y="1101"/>
        <w:rPr>
          <w:rFonts w:cs="新細明體"/>
          <w:color w:val="000000"/>
          <w:sz w:val="23"/>
          <w:szCs w:val="23"/>
        </w:rPr>
      </w:pPr>
      <w:r>
        <w:rPr>
          <w:rFonts w:cs="新細明體" w:hint="eastAsia"/>
          <w:color w:val="000000"/>
          <w:sz w:val="23"/>
          <w:szCs w:val="23"/>
        </w:rPr>
        <w:t>八、都市計畫法、建築法、消防法及其他相關法規之檢討。</w:t>
      </w:r>
    </w:p>
    <w:p w:rsidR="00000000" w:rsidRDefault="000B262A">
      <w:pPr>
        <w:pStyle w:val="CM3"/>
        <w:framePr w:w="2962" w:wrap="auto" w:vAnchor="page" w:hAnchor="page" w:x="2264" w:y="1523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九、其他相關事項。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CM3"/>
        <w:framePr w:w="9531" w:wrap="auto" w:vAnchor="page" w:hAnchor="page" w:x="1018" w:y="2097"/>
        <w:spacing w:line="428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第五條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第二條第三款施工、監造，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包括下列事項：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一、施工廠商清點、統計原有構件及文物之督導。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二、施工廠商施工計畫、預定進度、傳統匠師或專業技術人員、重要分包廠商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及設備製造商資格之查對。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三、施工廠商</w:t>
      </w:r>
      <w:r>
        <w:rPr>
          <w:rFonts w:cs="新細明體" w:hint="eastAsia"/>
          <w:color w:val="313131"/>
          <w:sz w:val="23"/>
          <w:szCs w:val="23"/>
        </w:rPr>
        <w:t>放樣、施工基準測量及各項測量之校驗。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四、原貌與設計書圖不符時之建議及處理。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五、施工廠商辦理原用材料保存、修復或更新與品質管理工作之督導及查核。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六、施工廠商執行舊有文物之保護、工地安全衛生、交通維持及環境保護等工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作之督導。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七、履約進度及履約估驗計價之查核。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八、有關履約界面之協調及整合。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九、新添設備之適宜性建議、測試及試運轉之監督。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十、竣工文件及結算資料之協助製作。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十一、工作報告書及工程驗收之協助。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十二、協辦履約爭議之處理。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十三、其他相關事項。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CM3"/>
        <w:framePr w:w="9771" w:wrap="auto" w:vAnchor="page" w:hAnchor="page" w:x="1018" w:y="9087"/>
        <w:spacing w:line="431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第六條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第二條第四款工作報告書，包括下列事</w:t>
      </w:r>
      <w:r>
        <w:rPr>
          <w:rFonts w:cs="新細明體" w:hint="eastAsia"/>
          <w:color w:val="313131"/>
          <w:sz w:val="23"/>
          <w:szCs w:val="23"/>
        </w:rPr>
        <w:t>項：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一、施工前損壞狀況及施工後修復狀況紀錄。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二、參與施工人員及匠師施工過程、技術、流派紀錄。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三、新發現事物及處理過程紀錄。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四、採用科技工法之實驗、施工過程及檢測報告紀錄。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五、施工前後、施工過程、特殊構材、開工動土、上樑、會議或儀式性之特殊活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動與按工程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契約書要求檢視等之照片、影像、光碟及紀錄。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六、施工前、施工後及特殊工法之圖樣或模型。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七、修復工程歷次會議紀錄、重要公文書、工程日誌、工程決算及驗收紀錄等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文件之收列。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八、其他必要文件。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CM3"/>
        <w:framePr w:w="9918" w:wrap="auto" w:vAnchor="page" w:hAnchor="page" w:x="1018" w:y="13963"/>
        <w:spacing w:line="423" w:lineRule="atLeast"/>
        <w:rPr>
          <w:rFonts w:cs="新細明體"/>
          <w:color w:val="313131"/>
          <w:sz w:val="23"/>
          <w:szCs w:val="23"/>
        </w:rPr>
      </w:pPr>
      <w:r>
        <w:rPr>
          <w:rFonts w:cs="新細明體" w:hint="eastAsia"/>
          <w:color w:val="313131"/>
          <w:sz w:val="23"/>
          <w:szCs w:val="23"/>
        </w:rPr>
        <w:t>第七條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古蹟修復或再利用，所有人、使用人或管理人應將</w:t>
      </w:r>
      <w:r>
        <w:rPr>
          <w:rFonts w:cs="新細明體" w:hint="eastAsia"/>
          <w:color w:val="313131"/>
          <w:sz w:val="23"/>
          <w:szCs w:val="23"/>
        </w:rPr>
        <w:t>修復或再利用計畫報主管機關核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准後為之。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主管機關收到前項計畫後，應召開文化資產審議委員會審查。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00000" w:rsidRDefault="000B262A">
      <w:pPr>
        <w:pStyle w:val="Default"/>
        <w:framePr w:w="8748" w:wrap="auto" w:vAnchor="page" w:hAnchor="page" w:x="1019" w:y="15382"/>
        <w:spacing w:line="423" w:lineRule="atLeast"/>
        <w:rPr>
          <w:color w:val="313131"/>
          <w:sz w:val="23"/>
          <w:szCs w:val="23"/>
        </w:rPr>
      </w:pPr>
      <w:r>
        <w:rPr>
          <w:rFonts w:hint="eastAsia"/>
          <w:color w:val="313131"/>
          <w:sz w:val="23"/>
          <w:szCs w:val="23"/>
        </w:rPr>
        <w:t>第八條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古蹟修復或再利用工程之進行，應受主管機關之指導監督。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前項指導監督，主管機關得邀集機關、專家或學者召開工程諮詢會議。</w:t>
      </w:r>
      <w:r>
        <w:rPr>
          <w:color w:val="313131"/>
          <w:sz w:val="23"/>
          <w:szCs w:val="23"/>
        </w:rPr>
        <w:t xml:space="preserve"> </w:t>
      </w:r>
    </w:p>
    <w:p w:rsidR="00000000" w:rsidRDefault="000B262A">
      <w:pPr>
        <w:pStyle w:val="CM3"/>
        <w:pageBreakBefore/>
        <w:framePr w:w="8284" w:wrap="auto" w:vAnchor="page" w:hAnchor="page" w:x="2140" w:y="513"/>
        <w:spacing w:line="423" w:lineRule="atLeast"/>
        <w:rPr>
          <w:rFonts w:cs="新細明體"/>
          <w:color w:val="313131"/>
          <w:sz w:val="23"/>
          <w:szCs w:val="23"/>
        </w:rPr>
      </w:pPr>
      <w:r>
        <w:rPr>
          <w:rFonts w:cs="新細明體"/>
          <w:color w:val="313131"/>
          <w:sz w:val="23"/>
          <w:szCs w:val="23"/>
        </w:rPr>
        <w:lastRenderedPageBreak/>
        <w:t xml:space="preserve"> </w:t>
      </w:r>
      <w:r>
        <w:rPr>
          <w:rFonts w:cs="新細明體" w:hint="eastAsia"/>
          <w:color w:val="313131"/>
          <w:sz w:val="23"/>
          <w:szCs w:val="23"/>
        </w:rPr>
        <w:t>前項諮詢會議，得為規劃設計之審查、協助審查廠商書件、指導修復工程進行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、審查各項計畫書圖及其他必要之諮詢。</w:t>
      </w:r>
      <w:r>
        <w:rPr>
          <w:rFonts w:cs="新細明體"/>
          <w:color w:val="313131"/>
          <w:sz w:val="23"/>
          <w:szCs w:val="23"/>
        </w:rPr>
        <w:t xml:space="preserve"> </w:t>
      </w:r>
      <w:r>
        <w:rPr>
          <w:rFonts w:cs="新細明體" w:hint="eastAsia"/>
          <w:color w:val="313131"/>
          <w:sz w:val="23"/>
          <w:szCs w:val="23"/>
        </w:rPr>
        <w:t>歷史建築及聚落修復或再利用，準用前三項規定。</w:t>
      </w:r>
      <w:r>
        <w:rPr>
          <w:rFonts w:cs="新細明體"/>
          <w:color w:val="313131"/>
          <w:sz w:val="23"/>
          <w:szCs w:val="23"/>
        </w:rPr>
        <w:t xml:space="preserve"> </w:t>
      </w:r>
    </w:p>
    <w:p w:rsidR="000B262A" w:rsidRDefault="000B262A">
      <w:pPr>
        <w:pStyle w:val="Default"/>
        <w:framePr w:w="4417" w:wrap="auto" w:vAnchor="page" w:hAnchor="page" w:x="1018" w:y="1931"/>
        <w:spacing w:line="423" w:lineRule="atLeast"/>
      </w:pPr>
      <w:r>
        <w:rPr>
          <w:rFonts w:hint="eastAsia"/>
          <w:color w:val="313131"/>
          <w:sz w:val="23"/>
          <w:szCs w:val="23"/>
        </w:rPr>
        <w:t>第九條</w:t>
      </w:r>
      <w:r>
        <w:rPr>
          <w:color w:val="313131"/>
          <w:sz w:val="23"/>
          <w:szCs w:val="23"/>
        </w:rPr>
        <w:t xml:space="preserve"> </w:t>
      </w:r>
      <w:r>
        <w:rPr>
          <w:rFonts w:hint="eastAsia"/>
          <w:color w:val="313131"/>
          <w:sz w:val="23"/>
          <w:szCs w:val="23"/>
        </w:rPr>
        <w:t>本辦法自發布日施行。</w:t>
      </w:r>
      <w:r>
        <w:rPr>
          <w:color w:val="313131"/>
          <w:sz w:val="23"/>
          <w:szCs w:val="23"/>
        </w:rPr>
        <w:t xml:space="preserve"> </w:t>
      </w:r>
    </w:p>
    <w:sectPr w:rsidR="000B262A">
      <w:pgSz w:w="11900" w:h="16840"/>
      <w:pgMar w:top="819" w:right="919" w:bottom="170" w:left="9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A0"/>
    <w:rsid w:val="000B262A"/>
    <w:rsid w:val="001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DC39DF-E4DD-46BF-87DD-C2055D9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73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33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許庭馨</dc:creator>
  <cp:keywords/>
  <dc:description/>
  <cp:lastModifiedBy>許庭馨</cp:lastModifiedBy>
  <cp:revision>2</cp:revision>
  <dcterms:created xsi:type="dcterms:W3CDTF">2019-01-23T08:57:00Z</dcterms:created>
  <dcterms:modified xsi:type="dcterms:W3CDTF">2019-01-23T08:57:00Z</dcterms:modified>
</cp:coreProperties>
</file>